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4774" w14:textId="77777777" w:rsidR="002C2316" w:rsidRDefault="002C2316" w:rsidP="002C2316">
      <w:pPr>
        <w:spacing w:after="0" w:line="240" w:lineRule="auto"/>
        <w:ind w:left="576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Ignalinos rajono savivaldybės smulkaus ir vidutinio verslo rėmimo tvarkos aprašo</w:t>
      </w:r>
    </w:p>
    <w:p w14:paraId="5FBCE5EF" w14:textId="77777777" w:rsidR="002C2316" w:rsidRDefault="002C2316" w:rsidP="002C2316">
      <w:pPr>
        <w:spacing w:after="0" w:line="240" w:lineRule="auto"/>
        <w:ind w:left="5760"/>
        <w:rPr>
          <w:rFonts w:ascii="Times New Roman" w:eastAsia="Times New Roman" w:hAnsi="Times New Roman"/>
          <w:sz w:val="24"/>
          <w:szCs w:val="24"/>
          <w:lang w:eastAsia="lt-LT"/>
        </w:rPr>
      </w:pPr>
      <w:r>
        <w:rPr>
          <w:rFonts w:ascii="Times New Roman" w:eastAsia="Times New Roman" w:hAnsi="Times New Roman"/>
          <w:sz w:val="24"/>
          <w:szCs w:val="24"/>
          <w:lang w:eastAsia="lt-LT"/>
        </w:rPr>
        <w:t>2 priedas</w:t>
      </w:r>
    </w:p>
    <w:p w14:paraId="38BD4D15" w14:textId="77777777" w:rsidR="002C2316" w:rsidRDefault="002C2316" w:rsidP="002C2316">
      <w:pPr>
        <w:spacing w:after="0" w:line="240" w:lineRule="auto"/>
        <w:rPr>
          <w:rFonts w:ascii="Times New Roman" w:eastAsia="Times New Roman" w:hAnsi="Times New Roman"/>
          <w:sz w:val="24"/>
          <w:szCs w:val="24"/>
          <w:lang w:eastAsia="lt-LT"/>
        </w:rPr>
      </w:pPr>
    </w:p>
    <w:p w14:paraId="5142FCE3" w14:textId="77777777" w:rsidR="002C2316" w:rsidRDefault="002C2316" w:rsidP="002C231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SVV SUBJEKTO DEKLARACIJA (PASIŽADĖJIMAS)</w:t>
      </w:r>
    </w:p>
    <w:p w14:paraId="11EC7DA3" w14:textId="77777777" w:rsidR="002C2316" w:rsidRDefault="002C2316" w:rsidP="002C2316">
      <w:pPr>
        <w:spacing w:after="0" w:line="240" w:lineRule="auto"/>
        <w:jc w:val="center"/>
        <w:rPr>
          <w:rFonts w:ascii="Times New Roman" w:eastAsia="Times New Roman" w:hAnsi="Times New Roman"/>
          <w:sz w:val="24"/>
          <w:szCs w:val="24"/>
          <w:lang w:eastAsia="lt-LT"/>
        </w:rPr>
      </w:pPr>
    </w:p>
    <w:p w14:paraId="389CA2A4" w14:textId="77777777" w:rsidR="002C2316" w:rsidRDefault="002C2316" w:rsidP="002C2316">
      <w:pPr>
        <w:spacing w:after="0" w:line="240" w:lineRule="auto"/>
        <w:jc w:val="center"/>
        <w:rPr>
          <w:rFonts w:ascii="Times New Roman" w:eastAsia="Times New Roman" w:hAnsi="Times New Roman"/>
          <w:sz w:val="24"/>
          <w:szCs w:val="24"/>
          <w:lang w:eastAsia="lt-LT"/>
        </w:rPr>
      </w:pPr>
    </w:p>
    <w:tbl>
      <w:tblPr>
        <w:tblW w:w="0" w:type="auto"/>
        <w:tblLook w:val="01E0" w:firstRow="1" w:lastRow="1" w:firstColumn="1" w:lastColumn="1" w:noHBand="0" w:noVBand="0"/>
      </w:tblPr>
      <w:tblGrid>
        <w:gridCol w:w="3414"/>
        <w:gridCol w:w="438"/>
        <w:gridCol w:w="1937"/>
        <w:gridCol w:w="578"/>
        <w:gridCol w:w="3271"/>
      </w:tblGrid>
      <w:tr w:rsidR="002C2316" w14:paraId="7C0B136F" w14:textId="77777777" w:rsidTr="002C2316">
        <w:trPr>
          <w:trHeight w:val="270"/>
        </w:trPr>
        <w:tc>
          <w:tcPr>
            <w:tcW w:w="9797" w:type="dxa"/>
            <w:gridSpan w:val="5"/>
            <w:hideMark/>
          </w:tcPr>
          <w:p w14:paraId="6C1851E8" w14:textId="77777777" w:rsidR="002C2316" w:rsidRDefault="002C2316">
            <w:pPr>
              <w:keepNext/>
              <w:spacing w:after="0" w:line="240" w:lineRule="auto"/>
              <w:rPr>
                <w:rFonts w:ascii="Times New Roman" w:hAnsi="Times New Roman"/>
                <w:bCs/>
                <w:sz w:val="24"/>
                <w:szCs w:val="24"/>
                <w:lang w:eastAsia="zh-CN"/>
              </w:rPr>
            </w:pPr>
            <w:bookmarkStart w:id="0" w:name="_Hlk147158565"/>
            <w:r>
              <w:rPr>
                <w:rFonts w:ascii="Times New Roman" w:hAnsi="Times New Roman"/>
                <w:bCs/>
                <w:sz w:val="24"/>
                <w:szCs w:val="24"/>
              </w:rPr>
              <w:t>Aš,</w:t>
            </w:r>
          </w:p>
        </w:tc>
      </w:tr>
      <w:tr w:rsidR="002C2316" w14:paraId="1964D4E5" w14:textId="77777777" w:rsidTr="002C2316">
        <w:trPr>
          <w:trHeight w:val="270"/>
        </w:trPr>
        <w:tc>
          <w:tcPr>
            <w:tcW w:w="9797" w:type="dxa"/>
            <w:gridSpan w:val="5"/>
            <w:tcBorders>
              <w:top w:val="nil"/>
              <w:left w:val="nil"/>
              <w:bottom w:val="single" w:sz="4" w:space="0" w:color="auto"/>
              <w:right w:val="nil"/>
            </w:tcBorders>
          </w:tcPr>
          <w:p w14:paraId="4FF587BA" w14:textId="77777777" w:rsidR="002C2316" w:rsidRDefault="002C2316">
            <w:pPr>
              <w:keepNext/>
              <w:spacing w:after="0" w:line="240" w:lineRule="auto"/>
              <w:rPr>
                <w:rFonts w:ascii="Times New Roman" w:hAnsi="Times New Roman"/>
                <w:sz w:val="24"/>
                <w:szCs w:val="24"/>
              </w:rPr>
            </w:pPr>
          </w:p>
        </w:tc>
      </w:tr>
      <w:tr w:rsidR="002C2316" w14:paraId="06CE4844" w14:textId="77777777" w:rsidTr="002C2316">
        <w:trPr>
          <w:trHeight w:val="270"/>
        </w:trPr>
        <w:tc>
          <w:tcPr>
            <w:tcW w:w="9797" w:type="dxa"/>
            <w:gridSpan w:val="5"/>
            <w:tcBorders>
              <w:top w:val="single" w:sz="4" w:space="0" w:color="auto"/>
              <w:left w:val="nil"/>
              <w:bottom w:val="nil"/>
              <w:right w:val="nil"/>
            </w:tcBorders>
            <w:hideMark/>
          </w:tcPr>
          <w:p w14:paraId="4C48255D" w14:textId="77777777" w:rsidR="002C2316" w:rsidRDefault="002C2316">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(SVV subjekto pavadinimas)</w:t>
            </w:r>
          </w:p>
        </w:tc>
      </w:tr>
      <w:tr w:rsidR="002C2316" w14:paraId="194A28A4" w14:textId="77777777" w:rsidTr="002C2316">
        <w:trPr>
          <w:trHeight w:val="270"/>
        </w:trPr>
        <w:tc>
          <w:tcPr>
            <w:tcW w:w="9797" w:type="dxa"/>
            <w:gridSpan w:val="5"/>
          </w:tcPr>
          <w:p w14:paraId="32B70643"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patvirtinu, kad paraiškoje ir kituose dokumentuose pateikta informacija yra teisinga bei patvirtinu, kad neturiu įsiskolinimų Valstybinei mokesčių inspekcijai, Valstybiniam socialinio draudimo fondui, Ignalinos rajono savivaldybės biudžetui, atsiskaitęs (nėra įsiskolinimų) su Ignalinos rajono savivaldybės įstaigoms ir įmonėms, teikiančiomis vandens tiekimo ir nuotekų, šildymo, atliekų tvarkymo paslaugas.</w:t>
            </w:r>
          </w:p>
          <w:p w14:paraId="3277FC9A" w14:textId="77777777" w:rsidR="002C2316" w:rsidRDefault="002C2316">
            <w:pPr>
              <w:spacing w:after="0" w:line="240" w:lineRule="auto"/>
              <w:rPr>
                <w:rFonts w:ascii="Times New Roman" w:hAnsi="Times New Roman"/>
                <w:sz w:val="16"/>
                <w:szCs w:val="16"/>
              </w:rPr>
            </w:pPr>
          </w:p>
          <w:p w14:paraId="402265A1"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su finansinės paramos gavimo sąlygomis, teikimo tvarka ir iš to atsirandančiais įsipareigojimais esu susipažinęs (-</w:t>
            </w:r>
            <w:proofErr w:type="spellStart"/>
            <w:r>
              <w:rPr>
                <w:rFonts w:ascii="Times New Roman" w:hAnsi="Times New Roman"/>
                <w:sz w:val="24"/>
                <w:szCs w:val="24"/>
              </w:rPr>
              <w:t>usi</w:t>
            </w:r>
            <w:proofErr w:type="spellEnd"/>
            <w:r>
              <w:rPr>
                <w:rFonts w:ascii="Times New Roman" w:hAnsi="Times New Roman"/>
                <w:sz w:val="24"/>
                <w:szCs w:val="24"/>
              </w:rPr>
              <w:t>);</w:t>
            </w:r>
          </w:p>
          <w:p w14:paraId="02A1A87C" w14:textId="77777777" w:rsidR="002C2316" w:rsidRDefault="002C2316">
            <w:pPr>
              <w:spacing w:after="0" w:line="240" w:lineRule="auto"/>
              <w:rPr>
                <w:rFonts w:ascii="Times New Roman" w:eastAsia="Times New Roman" w:hAnsi="Times New Roman"/>
                <w:sz w:val="16"/>
                <w:szCs w:val="16"/>
              </w:rPr>
            </w:pPr>
          </w:p>
          <w:p w14:paraId="0EC94C1B"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paraiškoje nurodytos išlaidos nefinansuojamos iš kitų vietos, nacionalinių ir Europos Sąjungos programų;</w:t>
            </w:r>
          </w:p>
          <w:p w14:paraId="5B795DFC" w14:textId="77777777" w:rsidR="002C2316" w:rsidRDefault="002C2316">
            <w:pPr>
              <w:spacing w:after="0" w:line="240" w:lineRule="auto"/>
              <w:rPr>
                <w:rFonts w:ascii="Times New Roman" w:eastAsia="Times New Roman" w:hAnsi="Times New Roman"/>
                <w:sz w:val="16"/>
                <w:szCs w:val="16"/>
              </w:rPr>
            </w:pPr>
          </w:p>
          <w:p w14:paraId="5A17638A"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nesu pažeidęs jokios kitos sutarties dėl paramos skyrimo iš Europos Sąjungos arba Lietuvos Respublikos valstybės arba rajono savivaldybės biudžeto lėšų;</w:t>
            </w:r>
          </w:p>
          <w:p w14:paraId="4E527A8D" w14:textId="77777777" w:rsidR="002C2316" w:rsidRDefault="002C2316">
            <w:pPr>
              <w:spacing w:after="0" w:line="240" w:lineRule="auto"/>
              <w:rPr>
                <w:rFonts w:ascii="Times New Roman" w:eastAsia="Times New Roman" w:hAnsi="Times New Roman"/>
                <w:sz w:val="16"/>
                <w:szCs w:val="16"/>
              </w:rPr>
            </w:pPr>
          </w:p>
          <w:p w14:paraId="4D344FC2"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xml:space="preserve">- esu smulkiojo ir vidutinio verslo subjektas ar verslininkas, kaip tai apibrėžia Lietuvos Respublikos smulkiojo ir vidutinio verslo plėtros įstatymas; </w:t>
            </w:r>
          </w:p>
          <w:p w14:paraId="6AE4ABD4" w14:textId="77777777" w:rsidR="002C2316" w:rsidRDefault="002C2316">
            <w:pPr>
              <w:spacing w:after="0" w:line="240" w:lineRule="auto"/>
              <w:rPr>
                <w:rFonts w:ascii="Times New Roman" w:eastAsia="Times New Roman" w:hAnsi="Times New Roman"/>
                <w:sz w:val="16"/>
                <w:szCs w:val="16"/>
              </w:rPr>
            </w:pPr>
          </w:p>
          <w:p w14:paraId="61A0C280"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netaikomos aprašo 10.1–10.4 papunkčių nuostatos; nesu bankrutuojanti, likviduojama ar restruktūrizuojama SVV įmonė;</w:t>
            </w:r>
          </w:p>
          <w:p w14:paraId="6F528449" w14:textId="77777777" w:rsidR="002C2316" w:rsidRDefault="002C2316">
            <w:pPr>
              <w:spacing w:after="0" w:line="240" w:lineRule="auto"/>
              <w:rPr>
                <w:rFonts w:ascii="Times New Roman" w:eastAsia="Times New Roman" w:hAnsi="Times New Roman"/>
                <w:sz w:val="16"/>
                <w:szCs w:val="16"/>
              </w:rPr>
            </w:pPr>
          </w:p>
          <w:p w14:paraId="4BA9D1EA"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nevykdau veiklos, nurodytos aprašo 13 punkte;</w:t>
            </w:r>
          </w:p>
          <w:p w14:paraId="4CE6DF57" w14:textId="77777777" w:rsidR="002C2316" w:rsidRDefault="002C2316">
            <w:pPr>
              <w:spacing w:after="0" w:line="240" w:lineRule="auto"/>
              <w:rPr>
                <w:rFonts w:ascii="Times New Roman" w:eastAsia="Times New Roman" w:hAnsi="Times New Roman"/>
                <w:sz w:val="16"/>
                <w:szCs w:val="16"/>
              </w:rPr>
            </w:pPr>
          </w:p>
          <w:p w14:paraId="5012E492"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mano nurodytos išlaidos nepatenka į aprašo 14.1–14.4 papunkčiuose nurodytas nuostatas;</w:t>
            </w:r>
          </w:p>
          <w:p w14:paraId="7FD79851" w14:textId="77777777" w:rsidR="002C2316" w:rsidRDefault="002C2316">
            <w:pPr>
              <w:spacing w:after="0" w:line="240" w:lineRule="auto"/>
              <w:rPr>
                <w:rFonts w:ascii="Times New Roman" w:eastAsia="Times New Roman" w:hAnsi="Times New Roman"/>
                <w:sz w:val="16"/>
                <w:szCs w:val="16"/>
              </w:rPr>
            </w:pPr>
          </w:p>
          <w:p w14:paraId="0CFB4F1E"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gautas lėšas panaudosiu tik pagal tikslinę paskirtį;</w:t>
            </w:r>
          </w:p>
          <w:p w14:paraId="2016F6C3" w14:textId="77777777" w:rsidR="002C2316" w:rsidRDefault="002C2316">
            <w:pPr>
              <w:spacing w:after="0" w:line="240" w:lineRule="auto"/>
              <w:rPr>
                <w:rFonts w:ascii="Times New Roman" w:eastAsia="Times New Roman" w:hAnsi="Times New Roman"/>
                <w:sz w:val="16"/>
                <w:szCs w:val="16"/>
              </w:rPr>
            </w:pPr>
          </w:p>
          <w:p w14:paraId="2C05478B"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sutinku, kad informacija apie mano pateiktą paraišką (pareiškėjo pavadinimas,  vykdoma veikla, prašoma parama veiklai, prašoma paramos suma ir skirta paramos suma) būtų skelbiama paramą skiriančios institucijos interneto svetainėje;</w:t>
            </w:r>
          </w:p>
          <w:p w14:paraId="61967BE2" w14:textId="77777777" w:rsidR="002C2316" w:rsidRDefault="002C2316">
            <w:pPr>
              <w:spacing w:after="0" w:line="240" w:lineRule="auto"/>
              <w:rPr>
                <w:rFonts w:ascii="Times New Roman" w:eastAsia="Times New Roman" w:hAnsi="Times New Roman"/>
                <w:sz w:val="16"/>
                <w:szCs w:val="16"/>
              </w:rPr>
            </w:pPr>
          </w:p>
          <w:p w14:paraId="651B6584"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visi šioje paraiškoje pateikti duomenys yra tikslūs ir teisingi.</w:t>
            </w:r>
          </w:p>
          <w:p w14:paraId="67125FAE" w14:textId="77777777" w:rsidR="002C2316" w:rsidRDefault="002C2316">
            <w:pPr>
              <w:spacing w:after="0" w:line="240" w:lineRule="auto"/>
              <w:rPr>
                <w:rFonts w:ascii="Times New Roman" w:eastAsia="Times New Roman" w:hAnsi="Times New Roman"/>
                <w:sz w:val="16"/>
                <w:szCs w:val="16"/>
              </w:rPr>
            </w:pPr>
          </w:p>
          <w:p w14:paraId="46ED712C" w14:textId="77777777" w:rsidR="002C2316" w:rsidRDefault="002C2316">
            <w:pPr>
              <w:spacing w:after="0" w:line="240" w:lineRule="auto"/>
              <w:ind w:firstLine="62"/>
              <w:jc w:val="both"/>
              <w:rPr>
                <w:rFonts w:ascii="Times New Roman" w:hAnsi="Times New Roman"/>
                <w:sz w:val="24"/>
                <w:szCs w:val="24"/>
              </w:rPr>
            </w:pPr>
            <w:r>
              <w:rPr>
                <w:rFonts w:ascii="Times New Roman" w:hAnsi="Times New Roman"/>
                <w:sz w:val="24"/>
                <w:szCs w:val="24"/>
              </w:rPr>
              <w:t>- įsipareigoju leisti Ignalinos rajono savivaldybės administracijai patikrinti pateiktą informaciją, jeigu, jos manymu, tai yra būtina.</w:t>
            </w:r>
          </w:p>
          <w:p w14:paraId="1E1B9275" w14:textId="77777777" w:rsidR="002C2316" w:rsidRDefault="002C2316">
            <w:pPr>
              <w:spacing w:after="0" w:line="240" w:lineRule="auto"/>
              <w:ind w:firstLine="62"/>
              <w:jc w:val="both"/>
              <w:rPr>
                <w:rFonts w:ascii="Times New Roman" w:hAnsi="Times New Roman"/>
                <w:sz w:val="24"/>
                <w:szCs w:val="24"/>
              </w:rPr>
            </w:pPr>
            <w:r>
              <w:rPr>
                <w:rFonts w:ascii="Times New Roman" w:hAnsi="Times New Roman"/>
                <w:sz w:val="24"/>
                <w:szCs w:val="24"/>
              </w:rPr>
              <w:t xml:space="preserve">- sutinku, kad šioje paraiškoje mano nurodytus asmens duomenis Ignalinos rajono savivaldybės administracija tvarkytų asmens tapatybės nustatymo, asmens duomenų teisingumo patikrinimo,  statistikos,   tikslais. </w:t>
            </w:r>
          </w:p>
          <w:p w14:paraId="22CE5471" w14:textId="77777777" w:rsidR="002C2316" w:rsidRDefault="002C2316">
            <w:pPr>
              <w:spacing w:after="0" w:line="240" w:lineRule="auto"/>
              <w:jc w:val="both"/>
              <w:rPr>
                <w:rFonts w:ascii="Times New Roman" w:hAnsi="Times New Roman"/>
                <w:sz w:val="24"/>
                <w:szCs w:val="24"/>
              </w:rPr>
            </w:pPr>
            <w:r>
              <w:rPr>
                <w:rFonts w:ascii="Times New Roman" w:hAnsi="Times New Roman"/>
                <w:sz w:val="24"/>
                <w:szCs w:val="24"/>
              </w:rPr>
              <w:t>- sutinku, kad informaciją, susijusią su mano asmens duomenimis, savivaldybės administracija gautų iš UAB Ignalinos šilumos tinklų, UAB „Didžiasalio komunalinės paslaugos“, UAB Ignalinos butų ūkio, SĮ „</w:t>
            </w:r>
            <w:proofErr w:type="spellStart"/>
            <w:r>
              <w:rPr>
                <w:rFonts w:ascii="Times New Roman" w:hAnsi="Times New Roman"/>
                <w:sz w:val="24"/>
                <w:szCs w:val="24"/>
              </w:rPr>
              <w:t>Kompata</w:t>
            </w:r>
            <w:proofErr w:type="spellEnd"/>
            <w:r>
              <w:rPr>
                <w:rFonts w:ascii="Times New Roman" w:hAnsi="Times New Roman"/>
                <w:sz w:val="24"/>
                <w:szCs w:val="24"/>
              </w:rPr>
              <w:t>“.</w:t>
            </w:r>
          </w:p>
          <w:p w14:paraId="608A46E5" w14:textId="77777777" w:rsidR="002C2316" w:rsidRDefault="002C2316">
            <w:pPr>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lang w:eastAsia="lt-LT"/>
              </w:rPr>
              <w:t>- man yra žinoma, kad įmonei suteikta nereikšminga (</w:t>
            </w:r>
            <w:r>
              <w:rPr>
                <w:rFonts w:ascii="Times New Roman" w:hAnsi="Times New Roman"/>
                <w:i/>
                <w:iCs/>
                <w:color w:val="000000"/>
                <w:sz w:val="24"/>
                <w:szCs w:val="24"/>
                <w:lang w:eastAsia="lt-LT"/>
              </w:rPr>
              <w:t xml:space="preserve">de </w:t>
            </w:r>
            <w:proofErr w:type="spellStart"/>
            <w:r>
              <w:rPr>
                <w:rFonts w:ascii="Times New Roman" w:hAnsi="Times New Roman"/>
                <w:i/>
                <w:iCs/>
                <w:color w:val="000000"/>
                <w:sz w:val="24"/>
                <w:szCs w:val="24"/>
                <w:lang w:eastAsia="lt-LT"/>
              </w:rPr>
              <w:t>minimis</w:t>
            </w:r>
            <w:proofErr w:type="spellEnd"/>
            <w:r>
              <w:rPr>
                <w:rFonts w:ascii="Times New Roman" w:hAnsi="Times New Roman"/>
                <w:color w:val="000000"/>
                <w:sz w:val="24"/>
                <w:szCs w:val="24"/>
                <w:lang w:eastAsia="lt-LT"/>
              </w:rPr>
              <w:t xml:space="preserve">) pagalba yra registruojama Lietuvos Respublikos konkurencijos tarybos tvarkomame Suteiktos valstybės pagalbos registre, </w:t>
            </w:r>
            <w:r>
              <w:rPr>
                <w:rFonts w:ascii="Times New Roman" w:hAnsi="Times New Roman"/>
                <w:color w:val="000000"/>
                <w:sz w:val="24"/>
                <w:szCs w:val="24"/>
                <w:lang w:eastAsia="lt-LT"/>
              </w:rPr>
              <w:lastRenderedPageBreak/>
              <w:t>informacija apie įmonei suteiktą (nereikšmingą) </w:t>
            </w:r>
            <w:r>
              <w:rPr>
                <w:rFonts w:ascii="Times New Roman" w:hAnsi="Times New Roman"/>
                <w:i/>
                <w:iCs/>
                <w:color w:val="000000"/>
                <w:sz w:val="24"/>
                <w:szCs w:val="24"/>
                <w:lang w:eastAsia="lt-LT"/>
              </w:rPr>
              <w:t xml:space="preserve">de </w:t>
            </w:r>
            <w:proofErr w:type="spellStart"/>
            <w:r>
              <w:rPr>
                <w:rFonts w:ascii="Times New Roman" w:hAnsi="Times New Roman"/>
                <w:i/>
                <w:iCs/>
                <w:color w:val="000000"/>
                <w:sz w:val="24"/>
                <w:szCs w:val="24"/>
                <w:lang w:eastAsia="lt-LT"/>
              </w:rPr>
              <w:t>minimis</w:t>
            </w:r>
            <w:proofErr w:type="spellEnd"/>
            <w:r>
              <w:rPr>
                <w:rFonts w:ascii="Times New Roman" w:hAnsi="Times New Roman"/>
                <w:color w:val="000000"/>
                <w:sz w:val="24"/>
                <w:szCs w:val="24"/>
                <w:lang w:eastAsia="lt-LT"/>
              </w:rPr>
              <w:t> pagalbą įmonėms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14:paraId="33CEA2D9" w14:textId="77777777" w:rsidR="002C2316" w:rsidRDefault="002C2316">
            <w:pPr>
              <w:spacing w:after="0" w:line="240" w:lineRule="auto"/>
              <w:jc w:val="both"/>
              <w:rPr>
                <w:rFonts w:ascii="Times New Roman" w:hAnsi="Times New Roman"/>
                <w:sz w:val="24"/>
                <w:szCs w:val="24"/>
                <w:lang w:eastAsia="zh-CN"/>
              </w:rPr>
            </w:pPr>
          </w:p>
        </w:tc>
      </w:tr>
      <w:tr w:rsidR="002C2316" w14:paraId="6CAE83C4" w14:textId="77777777" w:rsidTr="002C2316">
        <w:trPr>
          <w:trHeight w:val="270"/>
        </w:trPr>
        <w:tc>
          <w:tcPr>
            <w:tcW w:w="3474" w:type="dxa"/>
            <w:tcBorders>
              <w:top w:val="nil"/>
              <w:left w:val="nil"/>
              <w:bottom w:val="single" w:sz="4" w:space="0" w:color="auto"/>
              <w:right w:val="nil"/>
            </w:tcBorders>
            <w:hideMark/>
          </w:tcPr>
          <w:p w14:paraId="4D05CBD5" w14:textId="77777777" w:rsidR="002C2316" w:rsidRDefault="002C2316">
            <w:pPr>
              <w:rPr>
                <w:rFonts w:ascii="Times New Roman" w:hAnsi="Times New Roman"/>
                <w:sz w:val="24"/>
                <w:szCs w:val="24"/>
                <w:lang w:eastAsia="zh-CN"/>
              </w:rPr>
            </w:pPr>
          </w:p>
        </w:tc>
        <w:tc>
          <w:tcPr>
            <w:tcW w:w="444" w:type="dxa"/>
          </w:tcPr>
          <w:p w14:paraId="72698351" w14:textId="77777777" w:rsidR="002C2316" w:rsidRDefault="002C2316">
            <w:pPr>
              <w:keepNext/>
              <w:spacing w:after="0" w:line="240" w:lineRule="auto"/>
              <w:rPr>
                <w:rFonts w:ascii="Times New Roman" w:eastAsia="Times New Roman" w:hAnsi="Times New Roman"/>
                <w:b/>
                <w:bCs/>
                <w:sz w:val="24"/>
                <w:szCs w:val="24"/>
                <w:lang w:eastAsia="zh-CN"/>
              </w:rPr>
            </w:pPr>
          </w:p>
        </w:tc>
        <w:tc>
          <w:tcPr>
            <w:tcW w:w="1960" w:type="dxa"/>
            <w:tcBorders>
              <w:top w:val="nil"/>
              <w:left w:val="nil"/>
              <w:bottom w:val="single" w:sz="4" w:space="0" w:color="auto"/>
              <w:right w:val="nil"/>
            </w:tcBorders>
          </w:tcPr>
          <w:p w14:paraId="54DFAB91" w14:textId="77777777" w:rsidR="002C2316" w:rsidRDefault="002C2316">
            <w:pPr>
              <w:keepNext/>
              <w:spacing w:after="0" w:line="240" w:lineRule="auto"/>
              <w:rPr>
                <w:rFonts w:ascii="Times New Roman" w:hAnsi="Times New Roman"/>
                <w:b/>
                <w:bCs/>
                <w:sz w:val="24"/>
                <w:szCs w:val="24"/>
              </w:rPr>
            </w:pPr>
          </w:p>
        </w:tc>
        <w:tc>
          <w:tcPr>
            <w:tcW w:w="588" w:type="dxa"/>
          </w:tcPr>
          <w:p w14:paraId="23C5BE4E" w14:textId="77777777" w:rsidR="002C2316" w:rsidRDefault="002C2316">
            <w:pPr>
              <w:keepNext/>
              <w:spacing w:after="0" w:line="240" w:lineRule="auto"/>
              <w:rPr>
                <w:rFonts w:ascii="Times New Roman" w:hAnsi="Times New Roman"/>
                <w:b/>
                <w:bCs/>
                <w:sz w:val="24"/>
                <w:szCs w:val="24"/>
              </w:rPr>
            </w:pPr>
          </w:p>
        </w:tc>
        <w:tc>
          <w:tcPr>
            <w:tcW w:w="3331" w:type="dxa"/>
            <w:tcBorders>
              <w:top w:val="nil"/>
              <w:left w:val="nil"/>
              <w:bottom w:val="single" w:sz="4" w:space="0" w:color="auto"/>
              <w:right w:val="nil"/>
            </w:tcBorders>
            <w:hideMark/>
          </w:tcPr>
          <w:p w14:paraId="74228E00" w14:textId="77777777" w:rsidR="002C2316" w:rsidRDefault="002C2316">
            <w:pPr>
              <w:rPr>
                <w:rFonts w:ascii="Times New Roman" w:hAnsi="Times New Roman"/>
                <w:b/>
                <w:bCs/>
                <w:sz w:val="24"/>
                <w:szCs w:val="24"/>
              </w:rPr>
            </w:pPr>
          </w:p>
        </w:tc>
      </w:tr>
      <w:tr w:rsidR="002C2316" w14:paraId="2850B7E2" w14:textId="77777777" w:rsidTr="002C2316">
        <w:trPr>
          <w:trHeight w:val="270"/>
        </w:trPr>
        <w:tc>
          <w:tcPr>
            <w:tcW w:w="3474" w:type="dxa"/>
            <w:tcBorders>
              <w:top w:val="single" w:sz="4" w:space="0" w:color="auto"/>
              <w:left w:val="nil"/>
              <w:bottom w:val="nil"/>
              <w:right w:val="nil"/>
            </w:tcBorders>
            <w:hideMark/>
          </w:tcPr>
          <w:p w14:paraId="7E01FA73" w14:textId="77777777" w:rsidR="002C2316" w:rsidRDefault="002C2316">
            <w:pPr>
              <w:keepNext/>
              <w:spacing w:after="0" w:line="240" w:lineRule="auto"/>
              <w:rPr>
                <w:rFonts w:ascii="Times New Roman" w:eastAsia="Times New Roman" w:hAnsi="Times New Roman"/>
                <w:bCs/>
                <w:sz w:val="24"/>
                <w:szCs w:val="24"/>
                <w:lang w:eastAsia="zh-CN"/>
              </w:rPr>
            </w:pPr>
            <w:r>
              <w:rPr>
                <w:rFonts w:ascii="Times New Roman" w:hAnsi="Times New Roman"/>
                <w:bCs/>
                <w:sz w:val="24"/>
                <w:szCs w:val="24"/>
              </w:rPr>
              <w:t xml:space="preserve">(pareigos)                                               </w:t>
            </w:r>
          </w:p>
        </w:tc>
        <w:tc>
          <w:tcPr>
            <w:tcW w:w="444" w:type="dxa"/>
          </w:tcPr>
          <w:p w14:paraId="2CF1FE8C" w14:textId="77777777" w:rsidR="002C2316" w:rsidRDefault="002C2316">
            <w:pPr>
              <w:keepNext/>
              <w:spacing w:after="0" w:line="240" w:lineRule="auto"/>
              <w:rPr>
                <w:rFonts w:ascii="Times New Roman" w:hAnsi="Times New Roman"/>
                <w:bCs/>
                <w:sz w:val="24"/>
                <w:szCs w:val="24"/>
              </w:rPr>
            </w:pPr>
          </w:p>
        </w:tc>
        <w:tc>
          <w:tcPr>
            <w:tcW w:w="1960" w:type="dxa"/>
            <w:hideMark/>
          </w:tcPr>
          <w:p w14:paraId="5ABF0292" w14:textId="77777777" w:rsidR="002C2316" w:rsidRDefault="002C2316">
            <w:pPr>
              <w:keepNext/>
              <w:spacing w:after="0" w:line="240" w:lineRule="auto"/>
              <w:rPr>
                <w:rFonts w:ascii="Times New Roman" w:hAnsi="Times New Roman"/>
                <w:bCs/>
                <w:sz w:val="24"/>
                <w:szCs w:val="24"/>
              </w:rPr>
            </w:pPr>
            <w:r>
              <w:rPr>
                <w:rFonts w:ascii="Times New Roman" w:hAnsi="Times New Roman"/>
                <w:bCs/>
                <w:sz w:val="24"/>
                <w:szCs w:val="24"/>
              </w:rPr>
              <w:t xml:space="preserve">(parašas)                                                             </w:t>
            </w:r>
          </w:p>
        </w:tc>
        <w:tc>
          <w:tcPr>
            <w:tcW w:w="588" w:type="dxa"/>
          </w:tcPr>
          <w:p w14:paraId="6CD28057" w14:textId="77777777" w:rsidR="002C2316" w:rsidRDefault="002C2316">
            <w:pPr>
              <w:keepNext/>
              <w:spacing w:after="0" w:line="240" w:lineRule="auto"/>
              <w:rPr>
                <w:rFonts w:ascii="Times New Roman" w:hAnsi="Times New Roman"/>
                <w:bCs/>
                <w:sz w:val="24"/>
                <w:szCs w:val="24"/>
              </w:rPr>
            </w:pPr>
          </w:p>
        </w:tc>
        <w:tc>
          <w:tcPr>
            <w:tcW w:w="3331" w:type="dxa"/>
            <w:hideMark/>
          </w:tcPr>
          <w:p w14:paraId="6292799F" w14:textId="77777777" w:rsidR="002C2316" w:rsidRDefault="002C2316">
            <w:pPr>
              <w:spacing w:after="0" w:line="240" w:lineRule="auto"/>
              <w:rPr>
                <w:rFonts w:ascii="Times New Roman" w:hAnsi="Times New Roman"/>
                <w:sz w:val="24"/>
                <w:szCs w:val="24"/>
                <w:lang w:eastAsia="lt-LT"/>
              </w:rPr>
            </w:pPr>
            <w:r>
              <w:rPr>
                <w:rFonts w:ascii="Times New Roman" w:hAnsi="Times New Roman"/>
                <w:sz w:val="24"/>
                <w:szCs w:val="24"/>
                <w:lang w:eastAsia="lt-LT"/>
              </w:rPr>
              <w:t>(vardas, pavardė)</w:t>
            </w:r>
          </w:p>
        </w:tc>
      </w:tr>
    </w:tbl>
    <w:p w14:paraId="13BE67BD" w14:textId="77777777" w:rsidR="002C2316" w:rsidRDefault="002C2316" w:rsidP="002C2316">
      <w:pPr>
        <w:spacing w:after="0" w:line="240" w:lineRule="auto"/>
        <w:jc w:val="center"/>
        <w:rPr>
          <w:rFonts w:ascii="Times New Roman" w:hAnsi="Times New Roman"/>
          <w:sz w:val="24"/>
          <w:szCs w:val="24"/>
          <w:lang w:eastAsia="lt-LT"/>
        </w:rPr>
      </w:pPr>
    </w:p>
    <w:p w14:paraId="05ACEB0B" w14:textId="0C767E23" w:rsidR="002C2316" w:rsidRDefault="002C2316" w:rsidP="002C2316">
      <w:pPr>
        <w:spacing w:after="0" w:line="240" w:lineRule="auto"/>
        <w:jc w:val="center"/>
      </w:pPr>
      <w:r>
        <w:rPr>
          <w:rFonts w:ascii="Times New Roman" w:hAnsi="Times New Roman"/>
          <w:sz w:val="24"/>
          <w:szCs w:val="24"/>
          <w:lang w:eastAsia="lt-LT"/>
        </w:rPr>
        <w:t>A.V.</w:t>
      </w:r>
      <w:bookmarkEnd w:id="0"/>
    </w:p>
    <w:sectPr w:rsidR="002C23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16"/>
    <w:rsid w:val="002C2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1331"/>
  <w15:chartTrackingRefBased/>
  <w15:docId w15:val="{A109F150-8F8C-493D-A20E-EA36C4B8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316"/>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1909</Words>
  <Characters>1089</Characters>
  <Application>Microsoft Office Word</Application>
  <DocSecurity>0</DocSecurity>
  <Lines>9</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dc:creator>
  <cp:keywords/>
  <dc:description/>
  <cp:lastModifiedBy>Ramune</cp:lastModifiedBy>
  <cp:revision>1</cp:revision>
  <dcterms:created xsi:type="dcterms:W3CDTF">2023-10-03T11:33:00Z</dcterms:created>
  <dcterms:modified xsi:type="dcterms:W3CDTF">2023-10-03T11:35:00Z</dcterms:modified>
</cp:coreProperties>
</file>