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6096" w:hanging="0"/>
        <w:rPr>
          <w:rFonts w:cs="Times New Roman"/>
          <w:shd w:fill="FFFFFF" w:val="clear"/>
        </w:rPr>
      </w:pPr>
      <w:r>
        <w:rPr>
          <w:rFonts w:cs="Times New Roman"/>
          <w:shd w:fill="FFFFFF" w:val="clear"/>
        </w:rPr>
        <w:t>PATVIRTINTA</w:t>
      </w:r>
      <w:r>
        <w:rPr>
          <w:rFonts w:cs="Times New Roman"/>
        </w:rPr>
        <w:br/>
      </w:r>
      <w:r>
        <w:rPr>
          <w:rFonts w:cs="Times New Roman"/>
          <w:shd w:fill="FFFFFF" w:val="clear"/>
        </w:rPr>
        <w:t>Ignalinos rajono savivaldybės tarybos</w:t>
      </w:r>
      <w:r>
        <w:rPr>
          <w:rFonts w:cs="Times New Roman"/>
        </w:rPr>
        <w:br/>
      </w:r>
      <w:r>
        <w:rPr>
          <w:rFonts w:cs="Times New Roman"/>
          <w:shd w:fill="FFFFFF" w:val="clear"/>
        </w:rPr>
        <w:t>2026 m.               d. sprendimu Nr. T-</w:t>
      </w:r>
    </w:p>
    <w:p>
      <w:pPr>
        <w:pStyle w:val="Normal"/>
        <w:ind w:left="6096" w:hanging="0"/>
        <w:rPr>
          <w:rFonts w:cs="Times New Roman"/>
          <w:b/>
          <w:b/>
        </w:rPr>
      </w:pPr>
      <w:r>
        <w:rPr>
          <w:rFonts w:cs="Times New Roman"/>
          <w:b/>
        </w:rPr>
      </w:r>
    </w:p>
    <w:p>
      <w:pPr>
        <w:pStyle w:val="Normal"/>
        <w:jc w:val="center"/>
        <w:rPr>
          <w:b/>
          <w:b/>
          <w:bCs/>
        </w:rPr>
      </w:pPr>
      <w:r>
        <w:rPr>
          <w:b/>
        </w:rPr>
        <w:t xml:space="preserve">UŽDAROSIOS AKCINĖS BENDROVĖS „DIDŽIASALIO KOMUNALINĖS PASLAUGOS“ </w:t>
      </w:r>
      <w:r>
        <w:rPr>
          <w:b/>
          <w:bCs/>
        </w:rPr>
        <w:t>2025 METŲ VEIKLOS ATASKAITA</w:t>
      </w:r>
    </w:p>
    <w:p>
      <w:pPr>
        <w:pStyle w:val="Normal"/>
        <w:jc w:val="center"/>
        <w:rPr/>
      </w:pPr>
      <w:r>
        <w:rPr/>
      </w:r>
    </w:p>
    <w:p>
      <w:pPr>
        <w:pStyle w:val="Normal"/>
        <w:jc w:val="center"/>
        <w:rPr>
          <w:b/>
          <w:b/>
          <w:bCs/>
        </w:rPr>
      </w:pPr>
      <w:r>
        <w:rPr>
          <w:b/>
          <w:bCs/>
        </w:rPr>
        <w:t xml:space="preserve">I SKYRIUS </w:t>
      </w:r>
    </w:p>
    <w:p>
      <w:pPr>
        <w:pStyle w:val="Normal"/>
        <w:jc w:val="center"/>
        <w:rPr>
          <w:b/>
          <w:b/>
          <w:bCs/>
        </w:rPr>
      </w:pPr>
      <w:r>
        <w:rPr>
          <w:b/>
          <w:bCs/>
        </w:rPr>
        <w:t>STRATEGINIŲ IR VEIKLOS TIKSLŲ ĮGYVENDINIMAS</w:t>
      </w:r>
    </w:p>
    <w:p>
      <w:pPr>
        <w:pStyle w:val="Normal"/>
        <w:jc w:val="both"/>
        <w:rPr>
          <w:b/>
          <w:b/>
        </w:rPr>
      </w:pPr>
      <w:r>
        <w:rPr>
          <w:b/>
        </w:rPr>
        <w:tab/>
      </w:r>
    </w:p>
    <w:p>
      <w:pPr>
        <w:pStyle w:val="Normal"/>
        <w:ind w:firstLine="1134"/>
        <w:jc w:val="both"/>
        <w:rPr/>
      </w:pPr>
      <w:r>
        <w:rPr/>
        <w:t xml:space="preserve">Pagrindinė </w:t>
      </w:r>
      <w:r>
        <w:rPr>
          <w:bCs/>
        </w:rPr>
        <w:t>uždarosios akcinės bendrovės „Didžiasalio komunalinės paslaugos“</w:t>
      </w:r>
      <w:r>
        <w:rPr>
          <w:b/>
        </w:rPr>
        <w:t xml:space="preserve"> </w:t>
      </w:r>
      <w:r>
        <w:rPr>
          <w:bCs/>
        </w:rPr>
        <w:t>(toliau –</w:t>
      </w:r>
      <w:r>
        <w:rPr>
          <w:b/>
        </w:rPr>
        <w:t xml:space="preserve"> </w:t>
      </w:r>
      <w:r>
        <w:rPr>
          <w:bCs/>
        </w:rPr>
        <w:t>B</w:t>
      </w:r>
      <w:r>
        <w:rPr/>
        <w:t xml:space="preserve">endrovė) veikla yra šilumos energijos gamyba, karšto ir šalto vandens ruošimas  bei tiekimas. Šilumos energija ir karštas vanduo tiekiamas </w:t>
      </w:r>
      <w:r>
        <w:rPr>
          <w:shd w:fill="FFFFFF" w:val="clear"/>
        </w:rPr>
        <w:t xml:space="preserve">keturiasdešimt devyniems </w:t>
      </w:r>
      <w:r>
        <w:rPr/>
        <w:t xml:space="preserve">objektams, iš kurių: 33 daugiabučiai 2–5 aukštų gyvenamieji namai, 2 individualūs namai ir </w:t>
      </w:r>
      <w:r>
        <w:rPr>
          <w:color w:val="000000"/>
        </w:rPr>
        <w:t>14</w:t>
      </w:r>
      <w:r>
        <w:rPr/>
        <w:t xml:space="preserve"> įmonių ir organizacijų. Iš viso šildomo ploto – 60 tūkst. m².</w:t>
      </w:r>
    </w:p>
    <w:p>
      <w:pPr>
        <w:pStyle w:val="Normal"/>
        <w:ind w:firstLine="1134"/>
        <w:jc w:val="both"/>
        <w:rPr/>
      </w:pPr>
      <w:r>
        <w:rPr/>
        <w:t>Bendrovė eksploatuoja 8 vandentiekio tinklus, kurių vamzdynų ilgis yra 32,8 km ir 6,5 km nuotekų tinklų, įvadų skaičius – 395 vnt.</w:t>
      </w:r>
    </w:p>
    <w:p>
      <w:pPr>
        <w:pStyle w:val="Normal"/>
        <w:ind w:firstLine="1134"/>
        <w:jc w:val="both"/>
        <w:rPr/>
      </w:pPr>
      <w:r>
        <w:rPr/>
        <w:t>Per 2025 metus pakelta 47,9 tūkst. m</w:t>
      </w:r>
      <w:r>
        <w:rPr>
          <w:rFonts w:eastAsia="Times New Roman" w:cs="Times New Roman"/>
        </w:rPr>
        <w:t>³ vandens</w:t>
      </w:r>
      <w:r>
        <w:rPr/>
        <w:t>, iš kurių 6,9 tūkst. m</w:t>
      </w:r>
      <w:r>
        <w:rPr>
          <w:rFonts w:eastAsia="Times New Roman" w:cs="Times New Roman"/>
        </w:rPr>
        <w:t>³ panaudota savo reikmėms (geležies pašalinimo filtrams plauti),</w:t>
      </w:r>
      <w:r>
        <w:rPr/>
        <w:t xml:space="preserve"> </w:t>
      </w:r>
      <w:r>
        <w:rPr>
          <w:color w:val="000000"/>
        </w:rPr>
        <w:t>vartotojams ir abonentams pateikta 41 tūkst. m</w:t>
      </w:r>
      <w:r>
        <w:rPr>
          <w:rFonts w:eastAsia="Times New Roman" w:cs="Times New Roman"/>
          <w:color w:val="000000"/>
        </w:rPr>
        <w:t>³</w:t>
      </w:r>
      <w:r>
        <w:rPr>
          <w:color w:val="000000"/>
        </w:rPr>
        <w:t>, parduota 33,0 tūkst. m</w:t>
      </w:r>
      <w:r>
        <w:rPr>
          <w:color w:val="000000"/>
          <w:vertAlign w:val="superscript"/>
        </w:rPr>
        <w:t>3</w:t>
      </w:r>
      <w:r>
        <w:rPr>
          <w:color w:val="000000"/>
        </w:rPr>
        <w:t xml:space="preserve"> </w:t>
      </w:r>
      <w:r>
        <w:rPr/>
        <w:t>vandens Didžiasalio gyvenvietėje, Tverečiaus, Dietkauščiznos, Dvaryščių, Erzvėto, Žvyrių, Navikų ir Vosiūnų kaimuose. Vandens kokybė atitinka visus sanitarinius, higieninius reikalavimus.</w:t>
      </w:r>
    </w:p>
    <w:p>
      <w:pPr>
        <w:pStyle w:val="Normal"/>
        <w:ind w:firstLine="1134"/>
        <w:jc w:val="both"/>
        <w:rPr/>
      </w:pPr>
      <w:r>
        <w:rPr/>
      </w:r>
    </w:p>
    <w:p>
      <w:pPr>
        <w:pStyle w:val="Normal"/>
        <w:jc w:val="center"/>
        <w:rPr>
          <w:b/>
          <w:b/>
          <w:bCs/>
        </w:rPr>
      </w:pPr>
      <w:r>
        <w:rPr>
          <w:b/>
          <w:bCs/>
        </w:rPr>
        <w:t>VEIKLOS REZULTATAI</w:t>
      </w:r>
    </w:p>
    <w:p>
      <w:pPr>
        <w:pStyle w:val="Normal"/>
        <w:ind w:firstLine="567"/>
        <w:jc w:val="both"/>
        <w:rPr/>
      </w:pPr>
      <w:r>
        <w:rPr/>
      </w:r>
    </w:p>
    <w:tbl>
      <w:tblPr>
        <w:tblW w:w="9638" w:type="dxa"/>
        <w:jc w:val="left"/>
        <w:tblInd w:w="-2" w:type="dxa"/>
        <w:tblLayout w:type="fixed"/>
        <w:tblCellMar>
          <w:top w:w="55" w:type="dxa"/>
          <w:left w:w="55" w:type="dxa"/>
          <w:bottom w:w="55" w:type="dxa"/>
          <w:right w:w="55" w:type="dxa"/>
        </w:tblCellMar>
        <w:tblLook w:firstRow="1" w:noVBand="1" w:lastRow="0" w:firstColumn="1" w:lastColumn="0" w:noHBand="0" w:val="04a0"/>
      </w:tblPr>
      <w:tblGrid>
        <w:gridCol w:w="559"/>
        <w:gridCol w:w="3860"/>
        <w:gridCol w:w="905"/>
        <w:gridCol w:w="1414"/>
        <w:gridCol w:w="1520"/>
        <w:gridCol w:w="1379"/>
      </w:tblGrid>
      <w:tr>
        <w:trPr/>
        <w:tc>
          <w:tcPr>
            <w:tcW w:w="559"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Eil. Nr.</w:t>
            </w:r>
          </w:p>
        </w:tc>
        <w:tc>
          <w:tcPr>
            <w:tcW w:w="3860" w:type="dxa"/>
            <w:tcBorders>
              <w:top w:val="single" w:sz="2" w:space="0" w:color="000000"/>
              <w:left w:val="single" w:sz="2" w:space="0" w:color="000000"/>
              <w:bottom w:val="single" w:sz="2" w:space="0" w:color="000000"/>
            </w:tcBorders>
            <w:shd w:color="auto" w:fill="auto" w:val="clear"/>
            <w:vAlign w:val="center"/>
          </w:tcPr>
          <w:p>
            <w:pPr>
              <w:pStyle w:val="Lentelsturinys"/>
              <w:widowControl w:val="false"/>
              <w:jc w:val="center"/>
              <w:rPr>
                <w:sz w:val="20"/>
                <w:szCs w:val="20"/>
              </w:rPr>
            </w:pPr>
            <w:r>
              <w:rPr>
                <w:sz w:val="20"/>
                <w:szCs w:val="20"/>
              </w:rPr>
              <w:t>Rodikliai</w:t>
            </w:r>
          </w:p>
        </w:tc>
        <w:tc>
          <w:tcPr>
            <w:tcW w:w="905" w:type="dxa"/>
            <w:tcBorders>
              <w:top w:val="single" w:sz="2" w:space="0" w:color="000000"/>
              <w:left w:val="single" w:sz="2" w:space="0" w:color="000000"/>
              <w:bottom w:val="single" w:sz="2" w:space="0" w:color="000000"/>
            </w:tcBorders>
            <w:shd w:color="auto" w:fill="auto" w:val="clear"/>
            <w:vAlign w:val="center"/>
          </w:tcPr>
          <w:p>
            <w:pPr>
              <w:pStyle w:val="Lentelsturinys"/>
              <w:widowControl w:val="false"/>
              <w:jc w:val="center"/>
              <w:rPr>
                <w:sz w:val="20"/>
                <w:szCs w:val="20"/>
              </w:rPr>
            </w:pPr>
            <w:r>
              <w:rPr>
                <w:sz w:val="20"/>
                <w:szCs w:val="20"/>
              </w:rPr>
              <w:t>Mato vnt.</w:t>
            </w:r>
          </w:p>
        </w:tc>
        <w:tc>
          <w:tcPr>
            <w:tcW w:w="1414" w:type="dxa"/>
            <w:tcBorders>
              <w:top w:val="single" w:sz="2" w:space="0" w:color="000000"/>
              <w:left w:val="single" w:sz="2" w:space="0" w:color="000000"/>
              <w:bottom w:val="single" w:sz="2" w:space="0" w:color="000000"/>
            </w:tcBorders>
            <w:shd w:color="auto" w:fill="auto" w:val="clear"/>
            <w:vAlign w:val="center"/>
          </w:tcPr>
          <w:p>
            <w:pPr>
              <w:pStyle w:val="Lentelsturinys"/>
              <w:widowControl w:val="false"/>
              <w:jc w:val="center"/>
              <w:rPr>
                <w:sz w:val="20"/>
                <w:szCs w:val="20"/>
              </w:rPr>
            </w:pPr>
            <w:r>
              <w:rPr>
                <w:sz w:val="20"/>
                <w:szCs w:val="20"/>
              </w:rPr>
              <w:t xml:space="preserve">2025 m. </w:t>
            </w:r>
          </w:p>
        </w:tc>
        <w:tc>
          <w:tcPr>
            <w:tcW w:w="1520" w:type="dxa"/>
            <w:tcBorders>
              <w:top w:val="single" w:sz="2" w:space="0" w:color="000000"/>
              <w:left w:val="single" w:sz="2" w:space="0" w:color="000000"/>
              <w:bottom w:val="single" w:sz="2" w:space="0" w:color="000000"/>
            </w:tcBorders>
            <w:shd w:color="auto" w:fill="auto" w:val="clear"/>
            <w:vAlign w:val="center"/>
          </w:tcPr>
          <w:p>
            <w:pPr>
              <w:pStyle w:val="Lentelsturinys"/>
              <w:widowControl w:val="false"/>
              <w:jc w:val="center"/>
              <w:rPr>
                <w:sz w:val="20"/>
                <w:szCs w:val="20"/>
              </w:rPr>
            </w:pPr>
            <w:r>
              <w:rPr>
                <w:sz w:val="20"/>
                <w:szCs w:val="20"/>
              </w:rPr>
              <w:t xml:space="preserve">2024 m. </w:t>
            </w:r>
          </w:p>
        </w:tc>
        <w:tc>
          <w:tcPr>
            <w:tcW w:w="137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Lentelsturinys"/>
              <w:widowControl w:val="false"/>
              <w:jc w:val="center"/>
              <w:rPr>
                <w:sz w:val="20"/>
                <w:szCs w:val="20"/>
              </w:rPr>
            </w:pPr>
            <w:r>
              <w:rPr>
                <w:sz w:val="20"/>
                <w:szCs w:val="20"/>
              </w:rPr>
              <w:t>Procentinis pokytis</w:t>
            </w:r>
          </w:p>
        </w:tc>
      </w:tr>
      <w:tr>
        <w:trPr/>
        <w:tc>
          <w:tcPr>
            <w:tcW w:w="559"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1.</w:t>
            </w:r>
          </w:p>
        </w:tc>
        <w:tc>
          <w:tcPr>
            <w:tcW w:w="3860"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Pagaminta šilumos energijos</w:t>
            </w:r>
          </w:p>
        </w:tc>
        <w:tc>
          <w:tcPr>
            <w:tcW w:w="905"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tūkst. MWh</w:t>
            </w:r>
          </w:p>
        </w:tc>
        <w:tc>
          <w:tcPr>
            <w:tcW w:w="1414"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8,49</w:t>
            </w:r>
          </w:p>
        </w:tc>
        <w:tc>
          <w:tcPr>
            <w:tcW w:w="152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8,94</w:t>
            </w:r>
          </w:p>
        </w:tc>
        <w:tc>
          <w:tcPr>
            <w:tcW w:w="137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-5</w:t>
            </w:r>
          </w:p>
        </w:tc>
      </w:tr>
      <w:tr>
        <w:trPr/>
        <w:tc>
          <w:tcPr>
            <w:tcW w:w="559"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2.</w:t>
            </w:r>
          </w:p>
        </w:tc>
        <w:tc>
          <w:tcPr>
            <w:tcW w:w="3860"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Parduota šilumos energijos</w:t>
            </w:r>
          </w:p>
        </w:tc>
        <w:tc>
          <w:tcPr>
            <w:tcW w:w="905"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tūkst. MWh</w:t>
            </w:r>
          </w:p>
        </w:tc>
        <w:tc>
          <w:tcPr>
            <w:tcW w:w="1414"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7,63</w:t>
            </w:r>
          </w:p>
        </w:tc>
        <w:tc>
          <w:tcPr>
            <w:tcW w:w="152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8,08</w:t>
            </w:r>
          </w:p>
        </w:tc>
        <w:tc>
          <w:tcPr>
            <w:tcW w:w="137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-5</w:t>
            </w:r>
          </w:p>
        </w:tc>
      </w:tr>
      <w:tr>
        <w:trPr/>
        <w:tc>
          <w:tcPr>
            <w:tcW w:w="559"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3.</w:t>
            </w:r>
          </w:p>
        </w:tc>
        <w:tc>
          <w:tcPr>
            <w:tcW w:w="3860"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Vidutinė šilumos pardavimo kaina</w:t>
            </w:r>
          </w:p>
        </w:tc>
        <w:tc>
          <w:tcPr>
            <w:tcW w:w="905"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ct/kWh</w:t>
            </w:r>
          </w:p>
        </w:tc>
        <w:tc>
          <w:tcPr>
            <w:tcW w:w="1414"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7,88</w:t>
            </w:r>
          </w:p>
        </w:tc>
        <w:tc>
          <w:tcPr>
            <w:tcW w:w="152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8,20</w:t>
            </w:r>
          </w:p>
        </w:tc>
        <w:tc>
          <w:tcPr>
            <w:tcW w:w="137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-4</w:t>
            </w:r>
          </w:p>
        </w:tc>
      </w:tr>
      <w:tr>
        <w:trPr/>
        <w:tc>
          <w:tcPr>
            <w:tcW w:w="559"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4.</w:t>
            </w:r>
          </w:p>
        </w:tc>
        <w:tc>
          <w:tcPr>
            <w:tcW w:w="3860"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Vidutinė karšto vandens pardavimo kaina</w:t>
            </w:r>
          </w:p>
        </w:tc>
        <w:tc>
          <w:tcPr>
            <w:tcW w:w="905"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Eur/m</w:t>
            </w:r>
            <w:r>
              <w:rPr>
                <w:sz w:val="20"/>
                <w:szCs w:val="20"/>
                <w:vertAlign w:val="superscript"/>
              </w:rPr>
              <w:t>3</w:t>
            </w:r>
          </w:p>
        </w:tc>
        <w:tc>
          <w:tcPr>
            <w:tcW w:w="1414"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8,55</w:t>
            </w:r>
          </w:p>
        </w:tc>
        <w:tc>
          <w:tcPr>
            <w:tcW w:w="152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8,24</w:t>
            </w:r>
          </w:p>
        </w:tc>
        <w:tc>
          <w:tcPr>
            <w:tcW w:w="137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4</w:t>
            </w:r>
          </w:p>
        </w:tc>
      </w:tr>
    </w:tbl>
    <w:p>
      <w:pPr>
        <w:pStyle w:val="Normal"/>
        <w:ind w:firstLine="567"/>
        <w:jc w:val="center"/>
        <w:rPr/>
      </w:pPr>
      <w:r>
        <w:rPr/>
      </w:r>
    </w:p>
    <w:tbl>
      <w:tblPr>
        <w:tblW w:w="9643" w:type="dxa"/>
        <w:jc w:val="left"/>
        <w:tblInd w:w="-2" w:type="dxa"/>
        <w:tblLayout w:type="fixed"/>
        <w:tblCellMar>
          <w:top w:w="55" w:type="dxa"/>
          <w:left w:w="55" w:type="dxa"/>
          <w:bottom w:w="55" w:type="dxa"/>
          <w:right w:w="55" w:type="dxa"/>
        </w:tblCellMar>
        <w:tblLook w:firstRow="1" w:noVBand="1" w:lastRow="0" w:firstColumn="1" w:lastColumn="0" w:noHBand="0" w:val="04a0"/>
      </w:tblPr>
      <w:tblGrid>
        <w:gridCol w:w="590"/>
        <w:gridCol w:w="3829"/>
        <w:gridCol w:w="917"/>
        <w:gridCol w:w="1470"/>
        <w:gridCol w:w="1486"/>
        <w:gridCol w:w="1350"/>
      </w:tblGrid>
      <w:tr>
        <w:trPr/>
        <w:tc>
          <w:tcPr>
            <w:tcW w:w="590"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Eil. Nr.</w:t>
            </w:r>
          </w:p>
        </w:tc>
        <w:tc>
          <w:tcPr>
            <w:tcW w:w="3829" w:type="dxa"/>
            <w:tcBorders>
              <w:top w:val="single" w:sz="2" w:space="0" w:color="000000"/>
              <w:left w:val="single" w:sz="2" w:space="0" w:color="000000"/>
              <w:bottom w:val="single" w:sz="2" w:space="0" w:color="000000"/>
            </w:tcBorders>
            <w:shd w:color="auto" w:fill="auto" w:val="clear"/>
            <w:vAlign w:val="center"/>
          </w:tcPr>
          <w:p>
            <w:pPr>
              <w:pStyle w:val="Lentelsturinys"/>
              <w:widowControl w:val="false"/>
              <w:jc w:val="center"/>
              <w:rPr>
                <w:sz w:val="20"/>
                <w:szCs w:val="20"/>
              </w:rPr>
            </w:pPr>
            <w:r>
              <w:rPr>
                <w:sz w:val="20"/>
                <w:szCs w:val="20"/>
              </w:rPr>
              <w:t>Rodikliai</w:t>
            </w:r>
          </w:p>
        </w:tc>
        <w:tc>
          <w:tcPr>
            <w:tcW w:w="917"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 xml:space="preserve">Mato </w:t>
            </w:r>
          </w:p>
          <w:p>
            <w:pPr>
              <w:pStyle w:val="Lentelsturinys"/>
              <w:widowControl w:val="false"/>
              <w:jc w:val="center"/>
              <w:rPr>
                <w:sz w:val="20"/>
                <w:szCs w:val="20"/>
              </w:rPr>
            </w:pPr>
            <w:r>
              <w:rPr>
                <w:sz w:val="20"/>
                <w:szCs w:val="20"/>
              </w:rPr>
              <w:t>vnt.</w:t>
            </w:r>
          </w:p>
        </w:tc>
        <w:tc>
          <w:tcPr>
            <w:tcW w:w="1470" w:type="dxa"/>
            <w:tcBorders>
              <w:top w:val="single" w:sz="2" w:space="0" w:color="000000"/>
              <w:left w:val="single" w:sz="2" w:space="0" w:color="000000"/>
              <w:bottom w:val="single" w:sz="2" w:space="0" w:color="000000"/>
            </w:tcBorders>
            <w:shd w:color="auto" w:fill="auto" w:val="clear"/>
            <w:vAlign w:val="center"/>
          </w:tcPr>
          <w:p>
            <w:pPr>
              <w:pStyle w:val="Lentelsturinys"/>
              <w:widowControl w:val="false"/>
              <w:jc w:val="center"/>
              <w:rPr>
                <w:sz w:val="20"/>
                <w:szCs w:val="20"/>
              </w:rPr>
            </w:pPr>
            <w:r>
              <w:rPr>
                <w:sz w:val="20"/>
                <w:szCs w:val="20"/>
              </w:rPr>
              <w:t xml:space="preserve">2025 m. </w:t>
            </w:r>
          </w:p>
        </w:tc>
        <w:tc>
          <w:tcPr>
            <w:tcW w:w="1486" w:type="dxa"/>
            <w:tcBorders>
              <w:top w:val="single" w:sz="2" w:space="0" w:color="000000"/>
              <w:left w:val="single" w:sz="2" w:space="0" w:color="000000"/>
              <w:bottom w:val="single" w:sz="2" w:space="0" w:color="000000"/>
            </w:tcBorders>
            <w:shd w:color="auto" w:fill="auto" w:val="clear"/>
            <w:vAlign w:val="center"/>
          </w:tcPr>
          <w:p>
            <w:pPr>
              <w:pStyle w:val="Lentelsturinys"/>
              <w:widowControl w:val="false"/>
              <w:jc w:val="center"/>
              <w:rPr>
                <w:sz w:val="20"/>
                <w:szCs w:val="20"/>
              </w:rPr>
            </w:pPr>
            <w:r>
              <w:rPr>
                <w:sz w:val="20"/>
                <w:szCs w:val="20"/>
              </w:rPr>
              <w:t xml:space="preserve">2024 m. </w:t>
            </w:r>
          </w:p>
        </w:tc>
        <w:tc>
          <w:tcPr>
            <w:tcW w:w="1350"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Lentelsturinys"/>
              <w:widowControl w:val="false"/>
              <w:jc w:val="center"/>
              <w:rPr>
                <w:sz w:val="20"/>
                <w:szCs w:val="20"/>
              </w:rPr>
            </w:pPr>
            <w:r>
              <w:rPr>
                <w:sz w:val="20"/>
                <w:szCs w:val="20"/>
              </w:rPr>
              <w:t>Procentinis pokytis</w:t>
            </w:r>
          </w:p>
        </w:tc>
      </w:tr>
      <w:tr>
        <w:trPr/>
        <w:tc>
          <w:tcPr>
            <w:tcW w:w="590"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1.</w:t>
            </w:r>
          </w:p>
        </w:tc>
        <w:tc>
          <w:tcPr>
            <w:tcW w:w="3829"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Išgauta požeminio vandens</w:t>
            </w:r>
          </w:p>
        </w:tc>
        <w:tc>
          <w:tcPr>
            <w:tcW w:w="917"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tūkst. m</w:t>
            </w:r>
            <w:r>
              <w:rPr>
                <w:sz w:val="20"/>
                <w:szCs w:val="20"/>
                <w:vertAlign w:val="superscript"/>
              </w:rPr>
              <w:t>3</w:t>
            </w:r>
          </w:p>
        </w:tc>
        <w:tc>
          <w:tcPr>
            <w:tcW w:w="147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47,9</w:t>
            </w:r>
          </w:p>
        </w:tc>
        <w:tc>
          <w:tcPr>
            <w:tcW w:w="1486"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52,2</w:t>
            </w:r>
          </w:p>
        </w:tc>
        <w:tc>
          <w:tcPr>
            <w:tcW w:w="1350"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-8</w:t>
            </w:r>
          </w:p>
        </w:tc>
      </w:tr>
      <w:tr>
        <w:trPr/>
        <w:tc>
          <w:tcPr>
            <w:tcW w:w="590"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2.</w:t>
            </w:r>
          </w:p>
        </w:tc>
        <w:tc>
          <w:tcPr>
            <w:tcW w:w="3829"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 xml:space="preserve">Realizuota geriamojo vandens </w:t>
            </w:r>
          </w:p>
        </w:tc>
        <w:tc>
          <w:tcPr>
            <w:tcW w:w="917"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tūkst. m</w:t>
            </w:r>
            <w:r>
              <w:rPr>
                <w:sz w:val="20"/>
                <w:szCs w:val="20"/>
                <w:vertAlign w:val="superscript"/>
              </w:rPr>
              <w:t>3</w:t>
            </w:r>
          </w:p>
        </w:tc>
        <w:tc>
          <w:tcPr>
            <w:tcW w:w="147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33,0</w:t>
            </w:r>
          </w:p>
        </w:tc>
        <w:tc>
          <w:tcPr>
            <w:tcW w:w="1486"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35,4</w:t>
            </w:r>
          </w:p>
        </w:tc>
        <w:tc>
          <w:tcPr>
            <w:tcW w:w="1350"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-7</w:t>
            </w:r>
          </w:p>
        </w:tc>
      </w:tr>
      <w:tr>
        <w:trPr/>
        <w:tc>
          <w:tcPr>
            <w:tcW w:w="590"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3.</w:t>
            </w:r>
          </w:p>
        </w:tc>
        <w:tc>
          <w:tcPr>
            <w:tcW w:w="3829"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 xml:space="preserve">Realizuota nuotekų tvarkymo paslaugų </w:t>
            </w:r>
          </w:p>
        </w:tc>
        <w:tc>
          <w:tcPr>
            <w:tcW w:w="917"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tūkst. m</w:t>
            </w:r>
            <w:r>
              <w:rPr>
                <w:sz w:val="20"/>
                <w:szCs w:val="20"/>
                <w:vertAlign w:val="superscript"/>
              </w:rPr>
              <w:t>3</w:t>
            </w:r>
          </w:p>
        </w:tc>
        <w:tc>
          <w:tcPr>
            <w:tcW w:w="147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25,0</w:t>
            </w:r>
          </w:p>
        </w:tc>
        <w:tc>
          <w:tcPr>
            <w:tcW w:w="1486"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26,4</w:t>
            </w:r>
          </w:p>
        </w:tc>
        <w:tc>
          <w:tcPr>
            <w:tcW w:w="1350"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-5</w:t>
            </w:r>
          </w:p>
        </w:tc>
      </w:tr>
      <w:tr>
        <w:trPr/>
        <w:tc>
          <w:tcPr>
            <w:tcW w:w="590"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4.</w:t>
            </w:r>
          </w:p>
        </w:tc>
        <w:tc>
          <w:tcPr>
            <w:tcW w:w="3829"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Vidutinė geriamojo pardavimo vandens kaina</w:t>
            </w:r>
          </w:p>
        </w:tc>
        <w:tc>
          <w:tcPr>
            <w:tcW w:w="917"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Eur/m</w:t>
            </w:r>
            <w:r>
              <w:rPr>
                <w:sz w:val="20"/>
                <w:szCs w:val="20"/>
                <w:vertAlign w:val="superscript"/>
              </w:rPr>
              <w:t>3</w:t>
            </w:r>
          </w:p>
        </w:tc>
        <w:tc>
          <w:tcPr>
            <w:tcW w:w="147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2,04</w:t>
            </w:r>
          </w:p>
        </w:tc>
        <w:tc>
          <w:tcPr>
            <w:tcW w:w="1486"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2,01</w:t>
            </w:r>
          </w:p>
        </w:tc>
        <w:tc>
          <w:tcPr>
            <w:tcW w:w="1350"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1</w:t>
            </w:r>
          </w:p>
        </w:tc>
      </w:tr>
      <w:tr>
        <w:trPr/>
        <w:tc>
          <w:tcPr>
            <w:tcW w:w="590"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5.</w:t>
            </w:r>
          </w:p>
        </w:tc>
        <w:tc>
          <w:tcPr>
            <w:tcW w:w="3829" w:type="dxa"/>
            <w:tcBorders>
              <w:top w:val="single" w:sz="2" w:space="0" w:color="000000"/>
              <w:left w:val="single" w:sz="2" w:space="0" w:color="000000"/>
              <w:bottom w:val="single" w:sz="2" w:space="0" w:color="000000"/>
            </w:tcBorders>
            <w:shd w:color="auto" w:fill="auto" w:val="clear"/>
          </w:tcPr>
          <w:p>
            <w:pPr>
              <w:pStyle w:val="Lentelsturinys"/>
              <w:widowControl w:val="false"/>
              <w:rPr>
                <w:sz w:val="20"/>
                <w:szCs w:val="20"/>
              </w:rPr>
            </w:pPr>
            <w:r>
              <w:rPr>
                <w:sz w:val="20"/>
                <w:szCs w:val="20"/>
              </w:rPr>
              <w:t>Vidutinė nuotekų tvarkymo pardavimo kaina</w:t>
            </w:r>
          </w:p>
        </w:tc>
        <w:tc>
          <w:tcPr>
            <w:tcW w:w="917"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sz w:val="20"/>
                <w:szCs w:val="20"/>
              </w:rPr>
            </w:pPr>
            <w:r>
              <w:rPr>
                <w:sz w:val="20"/>
                <w:szCs w:val="20"/>
              </w:rPr>
              <w:t>Eur/m</w:t>
            </w:r>
            <w:r>
              <w:rPr>
                <w:sz w:val="20"/>
                <w:szCs w:val="20"/>
                <w:vertAlign w:val="superscript"/>
              </w:rPr>
              <w:t>3</w:t>
            </w:r>
          </w:p>
        </w:tc>
        <w:tc>
          <w:tcPr>
            <w:tcW w:w="1470"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1,94</w:t>
            </w:r>
          </w:p>
        </w:tc>
        <w:tc>
          <w:tcPr>
            <w:tcW w:w="1486" w:type="dxa"/>
            <w:tcBorders>
              <w:top w:val="single" w:sz="2" w:space="0" w:color="000000"/>
              <w:left w:val="single" w:sz="2" w:space="0" w:color="000000"/>
              <w:bottom w:val="single" w:sz="2" w:space="0" w:color="000000"/>
            </w:tcBorders>
            <w:shd w:color="auto" w:fill="auto" w:val="clear"/>
          </w:tcPr>
          <w:p>
            <w:pPr>
              <w:pStyle w:val="Lentelsturinys"/>
              <w:widowControl w:val="false"/>
              <w:snapToGrid w:val="false"/>
              <w:jc w:val="center"/>
              <w:rPr>
                <w:sz w:val="20"/>
                <w:szCs w:val="20"/>
              </w:rPr>
            </w:pPr>
            <w:r>
              <w:rPr>
                <w:sz w:val="20"/>
                <w:szCs w:val="20"/>
              </w:rPr>
              <w:t>1,94</w:t>
            </w:r>
          </w:p>
        </w:tc>
        <w:tc>
          <w:tcPr>
            <w:tcW w:w="1350"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snapToGrid w:val="false"/>
              <w:jc w:val="center"/>
              <w:rPr>
                <w:sz w:val="20"/>
                <w:szCs w:val="20"/>
              </w:rPr>
            </w:pPr>
            <w:r>
              <w:rPr>
                <w:sz w:val="20"/>
                <w:szCs w:val="20"/>
              </w:rPr>
              <w:t>0</w:t>
            </w:r>
          </w:p>
        </w:tc>
      </w:tr>
    </w:tbl>
    <w:p>
      <w:pPr>
        <w:pStyle w:val="Normal"/>
        <w:jc w:val="right"/>
        <w:rPr>
          <w:color w:val="000000"/>
          <w:sz w:val="20"/>
          <w:szCs w:val="20"/>
        </w:rPr>
      </w:pPr>
      <w:r>
        <w:rPr>
          <w:color w:val="000000"/>
          <w:sz w:val="20"/>
          <w:szCs w:val="20"/>
        </w:rPr>
        <w:t>tūkst. eurų</w:t>
      </w:r>
    </w:p>
    <w:tbl>
      <w:tblPr>
        <w:tblW w:w="5000" w:type="pct"/>
        <w:jc w:val="left"/>
        <w:tblInd w:w="-5" w:type="dxa"/>
        <w:tblLayout w:type="fixed"/>
        <w:tblCellMar>
          <w:top w:w="55" w:type="dxa"/>
          <w:left w:w="55" w:type="dxa"/>
          <w:bottom w:w="55" w:type="dxa"/>
          <w:right w:w="55" w:type="dxa"/>
        </w:tblCellMar>
        <w:tblLook w:firstRow="1" w:noVBand="1" w:lastRow="0" w:firstColumn="1" w:lastColumn="0" w:noHBand="0" w:val="04a0"/>
      </w:tblPr>
      <w:tblGrid>
        <w:gridCol w:w="624"/>
        <w:gridCol w:w="4654"/>
        <w:gridCol w:w="1526"/>
        <w:gridCol w:w="1584"/>
        <w:gridCol w:w="1812"/>
      </w:tblGrid>
      <w:tr>
        <w:trPr>
          <w:trHeight w:val="680" w:hRule="atLeast"/>
        </w:trPr>
        <w:tc>
          <w:tcPr>
            <w:tcW w:w="62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 xml:space="preserve">Eil. Nr. </w:t>
            </w:r>
          </w:p>
        </w:tc>
        <w:tc>
          <w:tcPr>
            <w:tcW w:w="465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Veiklos pavadinimas</w:t>
            </w:r>
          </w:p>
        </w:tc>
        <w:tc>
          <w:tcPr>
            <w:tcW w:w="1526"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jc w:val="center"/>
              <w:rPr>
                <w:sz w:val="20"/>
                <w:szCs w:val="20"/>
              </w:rPr>
            </w:pPr>
            <w:r>
              <w:rPr>
                <w:sz w:val="20"/>
                <w:szCs w:val="20"/>
              </w:rPr>
              <w:t>Pajamos</w:t>
            </w:r>
          </w:p>
          <w:p>
            <w:pPr>
              <w:pStyle w:val="Lentelsturinys"/>
              <w:widowControl w:val="false"/>
              <w:jc w:val="center"/>
              <w:rPr>
                <w:sz w:val="20"/>
                <w:szCs w:val="20"/>
              </w:rPr>
            </w:pPr>
            <w:r>
              <w:rPr>
                <w:sz w:val="20"/>
                <w:szCs w:val="20"/>
              </w:rPr>
            </w:r>
          </w:p>
        </w:tc>
        <w:tc>
          <w:tcPr>
            <w:tcW w:w="1584"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jc w:val="center"/>
              <w:rPr>
                <w:sz w:val="20"/>
                <w:szCs w:val="20"/>
              </w:rPr>
            </w:pPr>
            <w:r>
              <w:rPr>
                <w:sz w:val="20"/>
                <w:szCs w:val="20"/>
              </w:rPr>
              <w:t>Sąnaudos</w:t>
            </w:r>
          </w:p>
          <w:p>
            <w:pPr>
              <w:pStyle w:val="Lentelsturinys"/>
              <w:widowControl w:val="false"/>
              <w:jc w:val="center"/>
              <w:rPr>
                <w:sz w:val="20"/>
                <w:szCs w:val="20"/>
              </w:rPr>
            </w:pPr>
            <w:r>
              <w:rPr>
                <w:sz w:val="20"/>
                <w:szCs w:val="20"/>
              </w:rPr>
            </w:r>
          </w:p>
        </w:tc>
        <w:tc>
          <w:tcPr>
            <w:tcW w:w="181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entelsturinys"/>
              <w:widowControl w:val="false"/>
              <w:jc w:val="center"/>
              <w:rPr>
                <w:sz w:val="20"/>
                <w:szCs w:val="20"/>
              </w:rPr>
            </w:pPr>
            <w:r>
              <w:rPr>
                <w:sz w:val="20"/>
                <w:szCs w:val="20"/>
              </w:rPr>
              <w:t>Pelnas (nuostoliai)</w:t>
            </w:r>
          </w:p>
        </w:tc>
      </w:tr>
      <w:tr>
        <w:trPr/>
        <w:tc>
          <w:tcPr>
            <w:tcW w:w="624"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w:t>
            </w:r>
          </w:p>
        </w:tc>
        <w:tc>
          <w:tcPr>
            <w:tcW w:w="4654" w:type="dxa"/>
            <w:tcBorders>
              <w:top w:val="single" w:sz="4" w:space="0" w:color="000000"/>
              <w:left w:val="single" w:sz="4" w:space="0" w:color="000000"/>
              <w:bottom w:val="single" w:sz="4" w:space="0" w:color="000000"/>
            </w:tcBorders>
            <w:shd w:color="auto" w:fill="auto" w:val="clear"/>
          </w:tcPr>
          <w:p>
            <w:pPr>
              <w:pStyle w:val="Lentelsturinys"/>
              <w:widowControl w:val="false"/>
              <w:rPr>
                <w:sz w:val="20"/>
                <w:szCs w:val="20"/>
              </w:rPr>
            </w:pPr>
            <w:r>
              <w:rPr>
                <w:sz w:val="20"/>
                <w:szCs w:val="20"/>
              </w:rPr>
              <w:t>Šilumos energijos gamyba ir karšto vandens tiekimas</w:t>
            </w:r>
          </w:p>
        </w:tc>
        <w:tc>
          <w:tcPr>
            <w:tcW w:w="1526"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656,8</w:t>
            </w:r>
          </w:p>
        </w:tc>
        <w:tc>
          <w:tcPr>
            <w:tcW w:w="1584"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529,5</w:t>
            </w:r>
          </w:p>
        </w:tc>
        <w:tc>
          <w:tcPr>
            <w:tcW w:w="1812"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127,3</w:t>
            </w:r>
          </w:p>
        </w:tc>
      </w:tr>
      <w:tr>
        <w:trPr/>
        <w:tc>
          <w:tcPr>
            <w:tcW w:w="624"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w:t>
            </w:r>
          </w:p>
        </w:tc>
        <w:tc>
          <w:tcPr>
            <w:tcW w:w="4654" w:type="dxa"/>
            <w:tcBorders>
              <w:top w:val="single" w:sz="4" w:space="0" w:color="000000"/>
              <w:left w:val="single" w:sz="4" w:space="0" w:color="000000"/>
              <w:bottom w:val="single" w:sz="4" w:space="0" w:color="000000"/>
            </w:tcBorders>
            <w:shd w:color="auto" w:fill="auto" w:val="clear"/>
          </w:tcPr>
          <w:p>
            <w:pPr>
              <w:pStyle w:val="Lentelsturinys"/>
              <w:widowControl w:val="false"/>
              <w:rPr>
                <w:sz w:val="20"/>
                <w:szCs w:val="20"/>
              </w:rPr>
            </w:pPr>
            <w:r>
              <w:rPr>
                <w:sz w:val="20"/>
                <w:szCs w:val="20"/>
              </w:rPr>
              <w:t>Geriamojo vandens tiekimas ir nuotekų tvarkymas</w:t>
            </w:r>
          </w:p>
        </w:tc>
        <w:tc>
          <w:tcPr>
            <w:tcW w:w="1526"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122,0</w:t>
            </w:r>
          </w:p>
        </w:tc>
        <w:tc>
          <w:tcPr>
            <w:tcW w:w="1584"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143,0</w:t>
            </w:r>
          </w:p>
        </w:tc>
        <w:tc>
          <w:tcPr>
            <w:tcW w:w="1812"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-21,0</w:t>
            </w:r>
          </w:p>
        </w:tc>
      </w:tr>
      <w:tr>
        <w:trPr/>
        <w:tc>
          <w:tcPr>
            <w:tcW w:w="62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3.</w:t>
            </w:r>
          </w:p>
        </w:tc>
        <w:tc>
          <w:tcPr>
            <w:tcW w:w="465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rPr>
                <w:sz w:val="20"/>
                <w:szCs w:val="20"/>
              </w:rPr>
            </w:pPr>
            <w:r>
              <w:rPr>
                <w:sz w:val="20"/>
                <w:szCs w:val="20"/>
              </w:rPr>
              <w:t>Daugiabučių namų administravimas ir bendro naudojimo objektų techninė priežiūra</w:t>
            </w:r>
          </w:p>
        </w:tc>
        <w:tc>
          <w:tcPr>
            <w:tcW w:w="1526"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111,7</w:t>
            </w:r>
          </w:p>
        </w:tc>
        <w:tc>
          <w:tcPr>
            <w:tcW w:w="158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112,1</w:t>
            </w:r>
          </w:p>
        </w:tc>
        <w:tc>
          <w:tcPr>
            <w:tcW w:w="181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entelsturinys"/>
              <w:widowControl w:val="false"/>
              <w:jc w:val="center"/>
              <w:rPr>
                <w:sz w:val="20"/>
                <w:szCs w:val="20"/>
              </w:rPr>
            </w:pPr>
            <w:r>
              <w:rPr>
                <w:sz w:val="20"/>
                <w:szCs w:val="20"/>
              </w:rPr>
              <w:t>-0,4</w:t>
            </w:r>
          </w:p>
        </w:tc>
      </w:tr>
      <w:tr>
        <w:trPr/>
        <w:tc>
          <w:tcPr>
            <w:tcW w:w="62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4.</w:t>
            </w:r>
          </w:p>
        </w:tc>
        <w:tc>
          <w:tcPr>
            <w:tcW w:w="465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rPr>
                <w:sz w:val="20"/>
                <w:szCs w:val="20"/>
              </w:rPr>
            </w:pPr>
            <w:r>
              <w:rPr>
                <w:sz w:val="20"/>
                <w:szCs w:val="20"/>
              </w:rPr>
              <w:t xml:space="preserve">Kita veikla </w:t>
            </w:r>
          </w:p>
        </w:tc>
        <w:tc>
          <w:tcPr>
            <w:tcW w:w="1526"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61,8</w:t>
            </w:r>
          </w:p>
        </w:tc>
        <w:tc>
          <w:tcPr>
            <w:tcW w:w="1584"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43,8</w:t>
            </w:r>
          </w:p>
        </w:tc>
        <w:tc>
          <w:tcPr>
            <w:tcW w:w="181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entelsturinys"/>
              <w:widowControl w:val="false"/>
              <w:jc w:val="center"/>
              <w:rPr>
                <w:sz w:val="20"/>
                <w:szCs w:val="20"/>
              </w:rPr>
            </w:pPr>
            <w:r>
              <w:rPr>
                <w:sz w:val="20"/>
                <w:szCs w:val="20"/>
              </w:rPr>
              <w:t>18,0</w:t>
            </w:r>
          </w:p>
        </w:tc>
      </w:tr>
      <w:tr>
        <w:trPr/>
        <w:tc>
          <w:tcPr>
            <w:tcW w:w="624"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r>
          </w:p>
        </w:tc>
        <w:tc>
          <w:tcPr>
            <w:tcW w:w="4654" w:type="dxa"/>
            <w:tcBorders>
              <w:top w:val="single" w:sz="4" w:space="0" w:color="000000"/>
              <w:left w:val="single" w:sz="4" w:space="0" w:color="000000"/>
              <w:bottom w:val="single" w:sz="4" w:space="0" w:color="000000"/>
            </w:tcBorders>
            <w:shd w:color="auto" w:fill="auto" w:val="clear"/>
          </w:tcPr>
          <w:p>
            <w:pPr>
              <w:pStyle w:val="Lentelsturinys"/>
              <w:widowControl w:val="false"/>
              <w:rPr>
                <w:sz w:val="20"/>
                <w:szCs w:val="20"/>
              </w:rPr>
            </w:pPr>
            <w:r>
              <w:rPr>
                <w:sz w:val="20"/>
                <w:szCs w:val="20"/>
              </w:rPr>
              <w:t>Iš viso</w:t>
            </w:r>
          </w:p>
        </w:tc>
        <w:tc>
          <w:tcPr>
            <w:tcW w:w="1526"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952,3</w:t>
            </w:r>
          </w:p>
        </w:tc>
        <w:tc>
          <w:tcPr>
            <w:tcW w:w="1584"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828,4</w:t>
            </w:r>
          </w:p>
        </w:tc>
        <w:tc>
          <w:tcPr>
            <w:tcW w:w="1812"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123,9</w:t>
            </w:r>
          </w:p>
        </w:tc>
      </w:tr>
    </w:tbl>
    <w:p>
      <w:pPr>
        <w:pStyle w:val="Normal"/>
        <w:widowControl/>
        <w:jc w:val="center"/>
        <w:rPr>
          <w:b/>
          <w:b/>
          <w:color w:val="000000"/>
        </w:rPr>
      </w:pPr>
      <w:r>
        <w:rPr>
          <w:b/>
          <w:color w:val="000000"/>
        </w:rPr>
      </w:r>
    </w:p>
    <w:p>
      <w:pPr>
        <w:pStyle w:val="Normal"/>
        <w:tabs>
          <w:tab w:val="clear" w:pos="1296"/>
          <w:tab w:val="left" w:pos="552" w:leader="none"/>
        </w:tabs>
        <w:ind w:firstLine="1134"/>
        <w:jc w:val="both"/>
        <w:rPr>
          <w:color w:val="000000"/>
          <w:highlight w:val="white"/>
        </w:rPr>
      </w:pPr>
      <w:r>
        <w:rPr>
          <w:shd w:fill="FFFFFF" w:val="clear"/>
        </w:rPr>
        <w:t>2025 metus Bendrovė baigė turėdama 123,9 tūkst. eurų pelno iš veiklos.</w:t>
      </w:r>
    </w:p>
    <w:p>
      <w:pPr>
        <w:pStyle w:val="Normal"/>
        <w:tabs>
          <w:tab w:val="clear" w:pos="1296"/>
          <w:tab w:val="left" w:pos="552" w:leader="none"/>
        </w:tabs>
        <w:ind w:firstLine="567"/>
        <w:jc w:val="both"/>
        <w:rPr>
          <w:color w:val="000000"/>
          <w:highlight w:val="white"/>
        </w:rPr>
      </w:pPr>
      <w:r>
        <w:rPr>
          <w:color w:val="000000"/>
          <w:highlight w:val="white"/>
        </w:rPr>
      </w:r>
    </w:p>
    <w:p>
      <w:pPr>
        <w:pStyle w:val="Normal"/>
        <w:jc w:val="center"/>
        <w:rPr>
          <w:b/>
          <w:b/>
          <w:bCs/>
        </w:rPr>
      </w:pPr>
      <w:r>
        <w:rPr>
          <w:b/>
          <w:bCs/>
        </w:rPr>
        <w:t>SĄNAUDŲ STRUKTŪRA</w:t>
      </w:r>
    </w:p>
    <w:p>
      <w:pPr>
        <w:pStyle w:val="Normal"/>
        <w:jc w:val="right"/>
        <w:rPr>
          <w:color w:val="000000"/>
          <w:sz w:val="20"/>
          <w:szCs w:val="20"/>
        </w:rPr>
      </w:pPr>
      <w:r>
        <w:rPr>
          <w:color w:val="000000"/>
          <w:sz w:val="20"/>
          <w:szCs w:val="20"/>
        </w:rPr>
        <w:t>tūkst. eurų</w:t>
      </w:r>
    </w:p>
    <w:tbl>
      <w:tblPr>
        <w:tblW w:w="10179" w:type="dxa"/>
        <w:jc w:val="left"/>
        <w:tblInd w:w="21" w:type="dxa"/>
        <w:tblLayout w:type="fixed"/>
        <w:tblCellMar>
          <w:top w:w="55" w:type="dxa"/>
          <w:left w:w="55" w:type="dxa"/>
          <w:bottom w:w="55" w:type="dxa"/>
          <w:right w:w="55" w:type="dxa"/>
        </w:tblCellMar>
        <w:tblLook w:firstRow="1" w:noVBand="1" w:lastRow="0" w:firstColumn="1" w:lastColumn="0" w:noHBand="0" w:val="04a0"/>
      </w:tblPr>
      <w:tblGrid>
        <w:gridCol w:w="1829"/>
        <w:gridCol w:w="928"/>
        <w:gridCol w:w="929"/>
        <w:gridCol w:w="935"/>
        <w:gridCol w:w="920"/>
        <w:gridCol w:w="928"/>
        <w:gridCol w:w="937"/>
        <w:gridCol w:w="917"/>
        <w:gridCol w:w="928"/>
        <w:gridCol w:w="927"/>
      </w:tblGrid>
      <w:tr>
        <w:trPr/>
        <w:tc>
          <w:tcPr>
            <w:tcW w:w="1829" w:type="dxa"/>
            <w:vMerge w:val="restart"/>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Pavadinimas</w:t>
            </w:r>
          </w:p>
        </w:tc>
        <w:tc>
          <w:tcPr>
            <w:tcW w:w="2792" w:type="dxa"/>
            <w:gridSpan w:val="3"/>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Šilumos sektorius</w:t>
            </w:r>
          </w:p>
        </w:tc>
        <w:tc>
          <w:tcPr>
            <w:tcW w:w="2785" w:type="dxa"/>
            <w:gridSpan w:val="3"/>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Vandentiekis</w:t>
            </w:r>
          </w:p>
        </w:tc>
        <w:tc>
          <w:tcPr>
            <w:tcW w:w="2772"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Lentelsturinys"/>
              <w:widowControl w:val="false"/>
              <w:jc w:val="center"/>
              <w:rPr>
                <w:sz w:val="20"/>
                <w:szCs w:val="20"/>
              </w:rPr>
            </w:pPr>
            <w:r>
              <w:rPr>
                <w:sz w:val="20"/>
                <w:szCs w:val="20"/>
              </w:rPr>
              <w:t>Daugiabučių namų administravimas</w:t>
            </w:r>
          </w:p>
        </w:tc>
      </w:tr>
      <w:tr>
        <w:trPr/>
        <w:tc>
          <w:tcPr>
            <w:tcW w:w="1829" w:type="dxa"/>
            <w:vMerge w:val="continue"/>
            <w:tcBorders>
              <w:top w:val="single" w:sz="4" w:space="0" w:color="000000"/>
              <w:left w:val="single" w:sz="4" w:space="0" w:color="000000"/>
              <w:bottom w:val="single" w:sz="4" w:space="0" w:color="000000"/>
            </w:tcBorders>
            <w:shd w:color="auto" w:fill="auto" w:val="clear"/>
          </w:tcPr>
          <w:p>
            <w:pPr>
              <w:pStyle w:val="Lentelsturinys"/>
              <w:widowControl w:val="false"/>
              <w:rPr/>
            </w:pPr>
            <w:r>
              <w:rPr/>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2025 m.</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2024 m.</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pPr>
            <w:r>
              <w:rPr>
                <w:sz w:val="20"/>
                <w:szCs w:val="20"/>
              </w:rPr>
              <w:t>Pokytis %</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2025 m.</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2024 m.</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pPr>
            <w:r>
              <w:rPr>
                <w:sz w:val="20"/>
                <w:szCs w:val="20"/>
              </w:rPr>
              <w:t>Pokytis %</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2025 m.</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2024 m.</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pPr>
            <w:r>
              <w:rPr>
                <w:sz w:val="20"/>
                <w:szCs w:val="20"/>
              </w:rPr>
              <w:t>Pokytis %</w:t>
            </w:r>
          </w:p>
        </w:tc>
      </w:tr>
      <w:tr>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Elektros energija</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sz w:val="20"/>
                <w:szCs w:val="20"/>
              </w:rPr>
            </w:pPr>
            <w:r>
              <w:rPr>
                <w:color w:val="000000"/>
                <w:sz w:val="20"/>
                <w:szCs w:val="20"/>
              </w:rPr>
              <w:t>29,2</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rPr>
            </w:pPr>
            <w:r>
              <w:rPr>
                <w:color w:val="000000"/>
                <w:sz w:val="20"/>
                <w:szCs w:val="20"/>
              </w:rPr>
              <w:t>27,6</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18,2</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19,4</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2,8</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2,7</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4</w:t>
            </w:r>
          </w:p>
        </w:tc>
      </w:tr>
      <w:tr>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Technologinis kuras</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sz w:val="20"/>
                <w:szCs w:val="20"/>
              </w:rPr>
            </w:pPr>
            <w:r>
              <w:rPr>
                <w:color w:val="000000"/>
                <w:sz w:val="20"/>
                <w:szCs w:val="20"/>
              </w:rPr>
              <w:t>253,6</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rPr>
            </w:pPr>
            <w:r>
              <w:rPr>
                <w:color w:val="000000"/>
                <w:sz w:val="20"/>
                <w:szCs w:val="20"/>
              </w:rPr>
              <w:t>302,0</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-16</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Personalo sąnaudos</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sz w:val="20"/>
                <w:szCs w:val="20"/>
              </w:rPr>
            </w:pPr>
            <w:r>
              <w:rPr>
                <w:color w:val="000000"/>
                <w:sz w:val="20"/>
                <w:szCs w:val="20"/>
              </w:rPr>
              <w:t>183,6</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rPr>
            </w:pPr>
            <w:r>
              <w:rPr>
                <w:color w:val="000000"/>
                <w:sz w:val="20"/>
                <w:szCs w:val="20"/>
              </w:rPr>
              <w:t>166,7</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10</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102,0</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86,6</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18</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95,5</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97,2</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-2</w:t>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Nusidėvėjimas</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sz w:val="20"/>
                <w:szCs w:val="20"/>
              </w:rPr>
            </w:pPr>
            <w:r>
              <w:rPr>
                <w:color w:val="000000"/>
                <w:sz w:val="20"/>
                <w:szCs w:val="20"/>
              </w:rPr>
              <w:t>21,4</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rPr>
            </w:pPr>
            <w:r>
              <w:rPr>
                <w:color w:val="000000"/>
                <w:sz w:val="20"/>
                <w:szCs w:val="20"/>
              </w:rPr>
              <w:t>20,6</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4</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1,6</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0,2</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700</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1,4</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0,9</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56</w:t>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Einamas remontas</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sz w:val="20"/>
                <w:szCs w:val="20"/>
              </w:rPr>
            </w:pPr>
            <w:r>
              <w:rPr>
                <w:color w:val="000000"/>
                <w:sz w:val="20"/>
                <w:szCs w:val="20"/>
              </w:rPr>
              <w:t>17,1</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color w:val="000000"/>
              </w:rPr>
            </w:pPr>
            <w:r>
              <w:rPr>
                <w:color w:val="000000"/>
                <w:sz w:val="20"/>
                <w:szCs w:val="20"/>
              </w:rPr>
              <w:t>18,1</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3,7</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4,6</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2,8</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-29</w:t>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Kuras transportui</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8,4</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9,1</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-8</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4,1</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4,6</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-11</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1,4</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1,9</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-26</w:t>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Mokesčiai</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0</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1,1</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-100</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4,8</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4,4</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9</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0,4</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0,4</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0</w:t>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Administracinės sąnaudos</w:t>
            </w:r>
          </w:p>
        </w:tc>
        <w:tc>
          <w:tcPr>
            <w:tcW w:w="928"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9,0</w:t>
            </w:r>
          </w:p>
        </w:tc>
        <w:tc>
          <w:tcPr>
            <w:tcW w:w="929"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9,0</w:t>
            </w:r>
          </w:p>
        </w:tc>
        <w:tc>
          <w:tcPr>
            <w:tcW w:w="935"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0</w:t>
            </w:r>
          </w:p>
        </w:tc>
        <w:tc>
          <w:tcPr>
            <w:tcW w:w="920"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2,1</w:t>
            </w:r>
          </w:p>
        </w:tc>
        <w:tc>
          <w:tcPr>
            <w:tcW w:w="928"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2,4</w:t>
            </w:r>
          </w:p>
        </w:tc>
        <w:tc>
          <w:tcPr>
            <w:tcW w:w="937"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-12</w:t>
            </w:r>
          </w:p>
        </w:tc>
        <w:tc>
          <w:tcPr>
            <w:tcW w:w="917"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2,4</w:t>
            </w:r>
          </w:p>
        </w:tc>
        <w:tc>
          <w:tcPr>
            <w:tcW w:w="928" w:type="dxa"/>
            <w:tcBorders>
              <w:top w:val="single" w:sz="4" w:space="0" w:color="000000"/>
              <w:left w:val="single" w:sz="4" w:space="0" w:color="000000"/>
              <w:bottom w:val="single" w:sz="4" w:space="0" w:color="000000"/>
            </w:tcBorders>
            <w:shd w:color="auto" w:fill="auto" w:val="clear"/>
            <w:vAlign w:val="center"/>
          </w:tcPr>
          <w:p>
            <w:pPr>
              <w:pStyle w:val="Lentelsturinys"/>
              <w:widowControl w:val="false"/>
              <w:jc w:val="center"/>
              <w:rPr>
                <w:sz w:val="20"/>
                <w:szCs w:val="20"/>
              </w:rPr>
            </w:pPr>
            <w:r>
              <w:rPr>
                <w:sz w:val="20"/>
                <w:szCs w:val="20"/>
              </w:rPr>
              <w:t>3,0</w:t>
            </w:r>
          </w:p>
        </w:tc>
        <w:tc>
          <w:tcPr>
            <w:tcW w:w="9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Lentelsturinys"/>
              <w:widowControl w:val="false"/>
              <w:jc w:val="center"/>
              <w:rPr>
                <w:sz w:val="20"/>
                <w:szCs w:val="20"/>
              </w:rPr>
            </w:pPr>
            <w:r>
              <w:rPr>
                <w:sz w:val="20"/>
                <w:szCs w:val="20"/>
              </w:rPr>
              <w:t>-20</w:t>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Kitos sąnaudos</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7,2</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6,0</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20</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6,5</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3,0</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117</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6,2</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6,4</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-3</w:t>
            </w:r>
          </w:p>
        </w:tc>
      </w:tr>
      <w:tr>
        <w:trPr>
          <w:trHeight w:val="304" w:hRule="atLeast"/>
        </w:trPr>
        <w:tc>
          <w:tcPr>
            <w:tcW w:w="1829" w:type="dxa"/>
            <w:tcBorders>
              <w:top w:val="single" w:sz="4" w:space="0" w:color="000000"/>
              <w:left w:val="single" w:sz="4" w:space="0" w:color="000000"/>
              <w:bottom w:val="single" w:sz="4" w:space="0" w:color="000000"/>
            </w:tcBorders>
            <w:shd w:color="auto" w:fill="auto" w:val="clear"/>
            <w:vAlign w:val="bottom"/>
          </w:tcPr>
          <w:p>
            <w:pPr>
              <w:pStyle w:val="Lentelsturinys"/>
              <w:widowControl w:val="false"/>
              <w:rPr>
                <w:sz w:val="20"/>
                <w:szCs w:val="20"/>
              </w:rPr>
            </w:pPr>
            <w:r>
              <w:rPr>
                <w:sz w:val="20"/>
                <w:szCs w:val="20"/>
              </w:rPr>
              <w:t>Iš viso</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529,5</w:t>
            </w:r>
          </w:p>
        </w:tc>
        <w:tc>
          <w:tcPr>
            <w:tcW w:w="929"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560,2</w:t>
            </w:r>
          </w:p>
        </w:tc>
        <w:tc>
          <w:tcPr>
            <w:tcW w:w="935"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-5</w:t>
            </w:r>
          </w:p>
        </w:tc>
        <w:tc>
          <w:tcPr>
            <w:tcW w:w="920"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143,0</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125,2</w:t>
            </w:r>
          </w:p>
        </w:tc>
        <w:tc>
          <w:tcPr>
            <w:tcW w:w="93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14</w:t>
            </w:r>
          </w:p>
        </w:tc>
        <w:tc>
          <w:tcPr>
            <w:tcW w:w="917"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112,1</w:t>
            </w:r>
          </w:p>
        </w:tc>
        <w:tc>
          <w:tcPr>
            <w:tcW w:w="928" w:type="dxa"/>
            <w:tcBorders>
              <w:top w:val="single" w:sz="4" w:space="0" w:color="000000"/>
              <w:left w:val="single" w:sz="4" w:space="0" w:color="000000"/>
              <w:bottom w:val="single" w:sz="4" w:space="0" w:color="000000"/>
            </w:tcBorders>
            <w:shd w:color="auto" w:fill="auto" w:val="clear"/>
          </w:tcPr>
          <w:p>
            <w:pPr>
              <w:pStyle w:val="Lentelsturinys"/>
              <w:widowControl w:val="false"/>
              <w:jc w:val="center"/>
              <w:rPr>
                <w:sz w:val="20"/>
                <w:szCs w:val="20"/>
              </w:rPr>
            </w:pPr>
            <w:r>
              <w:rPr>
                <w:sz w:val="20"/>
                <w:szCs w:val="20"/>
              </w:rPr>
              <w:t>115,3</w:t>
            </w:r>
          </w:p>
        </w:tc>
        <w:tc>
          <w:tcPr>
            <w:tcW w:w="927" w:type="dxa"/>
            <w:tcBorders>
              <w:top w:val="single" w:sz="4" w:space="0" w:color="000000"/>
              <w:left w:val="single" w:sz="4" w:space="0" w:color="000000"/>
              <w:bottom w:val="single" w:sz="4" w:space="0" w:color="000000"/>
              <w:right w:val="single" w:sz="4" w:space="0" w:color="000000"/>
            </w:tcBorders>
            <w:shd w:color="auto" w:fill="auto" w:val="clear"/>
          </w:tcPr>
          <w:p>
            <w:pPr>
              <w:pStyle w:val="Lentelsturinys"/>
              <w:widowControl w:val="false"/>
              <w:jc w:val="center"/>
              <w:rPr>
                <w:sz w:val="20"/>
                <w:szCs w:val="20"/>
              </w:rPr>
            </w:pPr>
            <w:r>
              <w:rPr>
                <w:sz w:val="20"/>
                <w:szCs w:val="20"/>
              </w:rPr>
              <w:t>-3</w:t>
            </w:r>
          </w:p>
        </w:tc>
      </w:tr>
    </w:tbl>
    <w:p>
      <w:pPr>
        <w:pStyle w:val="Normal"/>
        <w:tabs>
          <w:tab w:val="clear" w:pos="1296"/>
          <w:tab w:val="left" w:pos="552" w:leader="none"/>
        </w:tabs>
        <w:ind w:firstLine="567"/>
        <w:jc w:val="both"/>
        <w:rPr>
          <w:color w:val="000000"/>
          <w:highlight w:val="white"/>
        </w:rPr>
      </w:pPr>
      <w:r>
        <w:rPr>
          <w:color w:val="000000"/>
          <w:shd w:fill="FFFFFF" w:val="clear"/>
        </w:rPr>
        <w:tab/>
      </w:r>
    </w:p>
    <w:p>
      <w:pPr>
        <w:pStyle w:val="Normal"/>
        <w:ind w:firstLine="1134"/>
        <w:jc w:val="both"/>
        <w:rPr>
          <w:color w:val="000000"/>
        </w:rPr>
      </w:pPr>
      <w:r>
        <w:rPr>
          <w:color w:val="000000"/>
        </w:rPr>
        <w:t>Pajamos iš investicinės veiklos sudarė 20,1 tūkst. eurų, iš jų:</w:t>
      </w:r>
    </w:p>
    <w:p>
      <w:pPr>
        <w:pStyle w:val="Normal"/>
        <w:ind w:firstLine="1134"/>
        <w:jc w:val="both"/>
        <w:rPr>
          <w:color w:val="000000"/>
        </w:rPr>
      </w:pPr>
      <w:r>
        <w:rPr>
          <w:rFonts w:cs="Times New Roman"/>
          <w:color w:val="000000"/>
        </w:rPr>
        <w:t>-  delspinigiai</w:t>
      </w:r>
      <w:r>
        <w:rPr>
          <w:color w:val="000000"/>
        </w:rPr>
        <w:t xml:space="preserve"> už laiku nesumokėtus mokesčius už komunalines paslaugas – 17,5 tūkst. eurų;</w:t>
      </w:r>
    </w:p>
    <w:p>
      <w:pPr>
        <w:pStyle w:val="Normal"/>
        <w:ind w:firstLine="1134"/>
        <w:jc w:val="both"/>
        <w:rPr>
          <w:color w:val="000000"/>
        </w:rPr>
      </w:pPr>
      <w:r>
        <w:rPr>
          <w:color w:val="000000"/>
        </w:rPr>
        <w:t>-  administravimas – 2,6 tūkst. eurų.</w:t>
      </w:r>
    </w:p>
    <w:p>
      <w:pPr>
        <w:pStyle w:val="Normal"/>
        <w:ind w:firstLine="1134"/>
        <w:jc w:val="both"/>
        <w:rPr>
          <w:color w:val="000000"/>
        </w:rPr>
      </w:pPr>
      <w:r>
        <w:rPr>
          <w:color w:val="000000"/>
        </w:rPr>
        <w:t>Sąnaudos iš investicinės veiklos sudarė 45,4 tūkst. eurų, iš jų:</w:t>
      </w:r>
    </w:p>
    <w:p>
      <w:pPr>
        <w:pStyle w:val="Normal"/>
        <w:ind w:firstLine="1134"/>
        <w:jc w:val="both"/>
        <w:rPr>
          <w:color w:val="000000"/>
        </w:rPr>
      </w:pPr>
      <w:r>
        <w:rPr>
          <w:color w:val="000000"/>
        </w:rPr>
        <w:t>- nurašyta beviltiškų skolų – 27,3 tūkst. eurų;</w:t>
      </w:r>
    </w:p>
    <w:p>
      <w:pPr>
        <w:pStyle w:val="Normal"/>
        <w:ind w:firstLine="1134"/>
        <w:jc w:val="both"/>
        <w:rPr>
          <w:color w:val="000000"/>
        </w:rPr>
      </w:pPr>
      <w:r>
        <w:rPr>
          <w:color w:val="000000"/>
        </w:rPr>
        <w:t>- abejotinų skolų iškėlimas – 15,8 tūkst. eurų;</w:t>
      </w:r>
    </w:p>
    <w:p>
      <w:pPr>
        <w:pStyle w:val="Normal"/>
        <w:ind w:firstLine="1134"/>
        <w:jc w:val="both"/>
        <w:rPr/>
      </w:pPr>
      <w:r>
        <w:rPr>
          <w:color w:val="000000"/>
        </w:rPr>
        <w:t>- kita – 2,3</w:t>
      </w:r>
      <w:r>
        <w:rPr>
          <w:color w:val="C9211E"/>
        </w:rPr>
        <w:t xml:space="preserve"> </w:t>
      </w:r>
      <w:r>
        <w:rPr>
          <w:color w:val="000000"/>
        </w:rPr>
        <w:t>tūkst. eurų.</w:t>
      </w:r>
    </w:p>
    <w:p>
      <w:pPr>
        <w:pStyle w:val="Normal"/>
        <w:widowControl/>
        <w:ind w:firstLine="1134"/>
        <w:jc w:val="both"/>
        <w:rPr>
          <w:color w:val="000000"/>
        </w:rPr>
      </w:pPr>
      <w:r>
        <w:rPr>
          <w:color w:val="000000"/>
        </w:rPr>
        <w:t>Iš investicinės veiklos patirtas nuostolis sudarė 25,3 tūkst. Eur, dėl to 2025 metų nuostoliai yra  44,363 tūkst. eurų. 2025 m. gruodžio 31 d. ankstesnių metų nepaskirstytas nuostolis sudaro 999,243 tūkst. eurų.</w:t>
      </w:r>
    </w:p>
    <w:p>
      <w:pPr>
        <w:pStyle w:val="Normal"/>
        <w:jc w:val="center"/>
        <w:rPr>
          <w:b/>
          <w:b/>
          <w:bCs/>
          <w:color w:val="000000"/>
        </w:rPr>
      </w:pPr>
      <w:r>
        <w:rPr>
          <w:b/>
          <w:bCs/>
          <w:color w:val="000000"/>
        </w:rPr>
      </w:r>
    </w:p>
    <w:p>
      <w:pPr>
        <w:pStyle w:val="Normal"/>
        <w:jc w:val="center"/>
        <w:rPr>
          <w:b/>
          <w:b/>
          <w:bCs/>
          <w:color w:val="000000"/>
        </w:rPr>
      </w:pPr>
      <w:r>
        <w:rPr>
          <w:b/>
          <w:bCs/>
          <w:color w:val="000000"/>
        </w:rPr>
        <w:t>TURTO BŪKLĖ</w:t>
      </w:r>
    </w:p>
    <w:p>
      <w:pPr>
        <w:pStyle w:val="Normal"/>
        <w:ind w:firstLine="567"/>
        <w:jc w:val="center"/>
        <w:rPr/>
      </w:pPr>
      <w:r>
        <w:rPr/>
      </w:r>
    </w:p>
    <w:p>
      <w:pPr>
        <w:pStyle w:val="Normal"/>
        <w:ind w:firstLine="1134"/>
        <w:jc w:val="both"/>
        <w:rPr>
          <w:color w:val="000000"/>
        </w:rPr>
      </w:pPr>
      <w:r>
        <w:rPr>
          <w:color w:val="000000"/>
        </w:rPr>
        <w:t>Pradinė ilgalaikio turto vertė metų pradžioje buvo 1364,6 tūkst. eurų.</w:t>
      </w:r>
    </w:p>
    <w:p>
      <w:pPr>
        <w:pStyle w:val="Normal"/>
        <w:ind w:firstLine="1134"/>
        <w:jc w:val="both"/>
        <w:rPr/>
      </w:pPr>
      <w:r>
        <w:rPr>
          <w:color w:val="000000"/>
        </w:rPr>
        <w:t xml:space="preserve">Per 2025 metus įsigyto turto pradinę vertę sudarė 77,2 tūkst. eurų, turto nurašymo nebuvo. </w:t>
      </w:r>
    </w:p>
    <w:p>
      <w:pPr>
        <w:pStyle w:val="Normal"/>
        <w:ind w:firstLine="1134"/>
        <w:jc w:val="both"/>
        <w:rPr>
          <w:color w:val="000000"/>
        </w:rPr>
      </w:pPr>
      <w:r>
        <w:rPr>
          <w:color w:val="000000"/>
        </w:rPr>
        <w:t>Pradinė turto vertė 2025 m. pabaigoje yra 1441,8  tūkst. eurų.</w:t>
      </w:r>
    </w:p>
    <w:p>
      <w:pPr>
        <w:pStyle w:val="Normal"/>
        <w:ind w:firstLine="1134"/>
        <w:jc w:val="both"/>
        <w:rPr>
          <w:color w:val="000000"/>
        </w:rPr>
      </w:pPr>
      <w:r>
        <w:rPr>
          <w:color w:val="000000"/>
        </w:rPr>
        <w:t>Trumpalaikis turtas yra 1368,6 tūkst. eurų.</w:t>
      </w:r>
    </w:p>
    <w:p>
      <w:pPr>
        <w:pStyle w:val="Normal"/>
        <w:ind w:firstLine="1134"/>
        <w:jc w:val="both"/>
        <w:rPr>
          <w:color w:val="000000"/>
        </w:rPr>
      </w:pPr>
      <w:r>
        <w:rPr>
          <w:color w:val="000000"/>
        </w:rPr>
        <w:t>Trumpalaikį turtą sudaro:</w:t>
      </w:r>
    </w:p>
    <w:p>
      <w:pPr>
        <w:pStyle w:val="Normal"/>
        <w:ind w:firstLine="1134"/>
        <w:jc w:val="both"/>
        <w:rPr>
          <w:color w:val="000000"/>
        </w:rPr>
      </w:pPr>
      <w:r>
        <w:rPr>
          <w:color w:val="000000"/>
        </w:rPr>
        <w:t>atsargos: žaliavos, medžiagos, medžių skiedros, mazutas, kuras transportui ir kt. – 80,8 tūkst. eurų;</w:t>
      </w:r>
    </w:p>
    <w:p>
      <w:pPr>
        <w:pStyle w:val="Normal"/>
        <w:ind w:firstLine="1134"/>
        <w:jc w:val="both"/>
        <w:rPr>
          <w:color w:val="000000"/>
        </w:rPr>
      </w:pPr>
      <w:r>
        <w:rPr>
          <w:color w:val="000000"/>
        </w:rPr>
        <w:t xml:space="preserve">pirkėjų įsiskolinimas – įsiskolinimas už komunalines paslaugas – 1100,9 tūkst. eurų; </w:t>
      </w:r>
    </w:p>
    <w:p>
      <w:pPr>
        <w:pStyle w:val="Normal"/>
        <w:ind w:firstLine="1134"/>
        <w:jc w:val="both"/>
        <w:rPr>
          <w:color w:val="000000"/>
        </w:rPr>
      </w:pPr>
      <w:r>
        <w:rPr>
          <w:color w:val="000000"/>
        </w:rPr>
        <w:t>kitos gautinos sumos – 37,7 tūkst. eurų;</w:t>
      </w:r>
    </w:p>
    <w:p>
      <w:pPr>
        <w:pStyle w:val="Normal"/>
        <w:ind w:firstLine="1134"/>
        <w:jc w:val="both"/>
        <w:rPr>
          <w:color w:val="000000"/>
        </w:rPr>
      </w:pPr>
      <w:r>
        <w:rPr>
          <w:color w:val="000000"/>
        </w:rPr>
        <w:t>grynieji pinigai Bendrovės kasoje ir banke – 149,1 tūkst. eurų.</w:t>
      </w:r>
    </w:p>
    <w:p>
      <w:pPr>
        <w:pStyle w:val="Normal"/>
        <w:ind w:firstLine="1134"/>
        <w:jc w:val="both"/>
        <w:rPr>
          <w:color w:val="000000"/>
        </w:rPr>
      </w:pPr>
      <w:r>
        <w:rPr>
          <w:color w:val="000000"/>
        </w:rPr>
        <w:t>Bendrovės trumpalaikiai įsipareigojimai 2025 m. gruodžio 31 d. buvo 143,4</w:t>
      </w:r>
      <w:r>
        <w:rPr>
          <w:color w:val="C9211E"/>
        </w:rPr>
        <w:t xml:space="preserve"> </w:t>
      </w:r>
      <w:r>
        <w:rPr>
          <w:color w:val="000000"/>
        </w:rPr>
        <w:t xml:space="preserve">tūkst. eurų. </w:t>
      </w:r>
    </w:p>
    <w:p>
      <w:pPr>
        <w:pStyle w:val="Normal"/>
        <w:ind w:firstLine="1134"/>
        <w:jc w:val="both"/>
        <w:rPr/>
      </w:pPr>
      <w:r>
        <w:rPr>
          <w:color w:val="000000"/>
        </w:rPr>
        <w:t>Pagrindinę įsiskolinimo dalį sudarė įsiskolinimas kuro tiekėjams – 127,8 tūkst. Eur (D. Kindurio įmonei).</w:t>
      </w:r>
    </w:p>
    <w:p>
      <w:pPr>
        <w:pStyle w:val="Normal"/>
        <w:ind w:firstLine="1134"/>
        <w:jc w:val="both"/>
        <w:rPr>
          <w:color w:val="000000"/>
        </w:rPr>
      </w:pPr>
      <w:r>
        <w:rPr>
          <w:color w:val="000000"/>
        </w:rPr>
        <w:t>2024 m. gruodžio 31 d. įsiskolinimas buvo 141,2 tūkst. eurų.</w:t>
      </w:r>
    </w:p>
    <w:p>
      <w:pPr>
        <w:pStyle w:val="Normal"/>
        <w:ind w:firstLine="1134"/>
        <w:jc w:val="both"/>
        <w:rPr>
          <w:color w:val="000000"/>
        </w:rPr>
      </w:pPr>
      <w:r>
        <w:rPr>
          <w:color w:val="000000"/>
        </w:rPr>
        <w:t>Ilgalaikių įsipareigojimų 2025 m. gruodžio 31 d. Bendrovė neturėjo.</w:t>
      </w:r>
    </w:p>
    <w:p>
      <w:pPr>
        <w:pStyle w:val="Normal"/>
        <w:ind w:left="720" w:hanging="0"/>
        <w:jc w:val="both"/>
        <w:rPr>
          <w:color w:val="000000"/>
        </w:rPr>
      </w:pPr>
      <w:r>
        <w:rPr>
          <w:color w:val="000000"/>
        </w:rPr>
      </w:r>
    </w:p>
    <w:p>
      <w:pPr>
        <w:pStyle w:val="Normal"/>
        <w:jc w:val="center"/>
        <w:rPr>
          <w:b/>
          <w:b/>
          <w:bCs/>
          <w:color w:val="000000"/>
        </w:rPr>
      </w:pPr>
      <w:r>
        <w:rPr>
          <w:b/>
          <w:bCs/>
          <w:color w:val="000000"/>
        </w:rPr>
      </w:r>
    </w:p>
    <w:p>
      <w:pPr>
        <w:pStyle w:val="Normal"/>
        <w:jc w:val="center"/>
        <w:rPr>
          <w:b/>
          <w:b/>
          <w:bCs/>
          <w:color w:val="000000"/>
        </w:rPr>
      </w:pPr>
      <w:r>
        <w:rPr>
          <w:b/>
          <w:bCs/>
          <w:color w:val="000000"/>
        </w:rPr>
      </w:r>
    </w:p>
    <w:p>
      <w:pPr>
        <w:pStyle w:val="Normal"/>
        <w:jc w:val="center"/>
        <w:rPr>
          <w:b/>
          <w:b/>
          <w:bCs/>
          <w:color w:val="000000"/>
        </w:rPr>
      </w:pPr>
      <w:r>
        <w:rPr>
          <w:b/>
          <w:bCs/>
          <w:color w:val="000000"/>
        </w:rPr>
        <w:t>SU PERSONALO KLAUSIMAIS SUSIJUSI INFORMACIJA</w:t>
      </w:r>
    </w:p>
    <w:p>
      <w:pPr>
        <w:pStyle w:val="Normal"/>
        <w:jc w:val="center"/>
        <w:rPr>
          <w:color w:val="000000"/>
        </w:rPr>
      </w:pPr>
      <w:r>
        <w:rPr>
          <w:color w:val="000000"/>
        </w:rPr>
      </w:r>
    </w:p>
    <w:p>
      <w:pPr>
        <w:pStyle w:val="Normal"/>
        <w:widowControl/>
        <w:ind w:firstLine="1134"/>
        <w:jc w:val="both"/>
        <w:rPr>
          <w:color w:val="000000"/>
          <w:highlight w:val="white"/>
        </w:rPr>
      </w:pPr>
      <w:r>
        <w:rPr>
          <w:color w:val="000000"/>
          <w:shd w:fill="FFFFFF" w:val="clear"/>
        </w:rPr>
        <w:t>2025 metų gruodžio 31 d. Bendrovėje dirbo 27 darbuotojai, iš jų:</w:t>
      </w:r>
    </w:p>
    <w:p>
      <w:pPr>
        <w:pStyle w:val="Normal"/>
        <w:tabs>
          <w:tab w:val="clear" w:pos="1296"/>
          <w:tab w:val="left" w:pos="1418" w:leader="none"/>
        </w:tabs>
        <w:ind w:firstLine="1134"/>
        <w:jc w:val="both"/>
        <w:rPr>
          <w:color w:val="000000"/>
          <w:highlight w:val="white"/>
        </w:rPr>
      </w:pPr>
      <w:r>
        <w:rPr>
          <w:rFonts w:cs="Times New Roman"/>
          <w:color w:val="000000"/>
        </w:rPr>
        <w:t xml:space="preserve">- </w:t>
      </w:r>
      <w:r>
        <w:rPr>
          <w:color w:val="000000"/>
          <w:shd w:fill="FFFFFF" w:val="clear"/>
        </w:rPr>
        <w:t>šilumos energijos gamybos ir tiekimo sektoriuje – 10;</w:t>
      </w:r>
    </w:p>
    <w:p>
      <w:pPr>
        <w:pStyle w:val="Normal"/>
        <w:tabs>
          <w:tab w:val="clear" w:pos="1296"/>
          <w:tab w:val="left" w:pos="1418" w:leader="none"/>
        </w:tabs>
        <w:ind w:firstLine="1134"/>
        <w:jc w:val="both"/>
        <w:rPr>
          <w:color w:val="000000"/>
          <w:highlight w:val="white"/>
        </w:rPr>
      </w:pPr>
      <w:r>
        <w:rPr>
          <w:rFonts w:cs="Times New Roman"/>
          <w:color w:val="000000"/>
        </w:rPr>
        <w:t xml:space="preserve">- </w:t>
      </w:r>
      <w:r>
        <w:rPr>
          <w:color w:val="000000"/>
          <w:shd w:fill="FFFFFF" w:val="clear"/>
        </w:rPr>
        <w:t>gyvenvietės aptarnavimo padalinyje – 7;</w:t>
      </w:r>
    </w:p>
    <w:p>
      <w:pPr>
        <w:pStyle w:val="Normal"/>
        <w:tabs>
          <w:tab w:val="clear" w:pos="1296"/>
          <w:tab w:val="left" w:pos="1418" w:leader="none"/>
        </w:tabs>
        <w:ind w:firstLine="1134"/>
        <w:jc w:val="both"/>
        <w:rPr>
          <w:color w:val="000000"/>
          <w:highlight w:val="white"/>
        </w:rPr>
      </w:pPr>
      <w:r>
        <w:rPr>
          <w:rFonts w:cs="Times New Roman"/>
          <w:color w:val="000000"/>
        </w:rPr>
        <w:t xml:space="preserve">- </w:t>
      </w:r>
      <w:r>
        <w:rPr>
          <w:color w:val="000000"/>
          <w:shd w:fill="FFFFFF" w:val="clear"/>
        </w:rPr>
        <w:t>vandentiekio aptarnavimo ir nuotekų tvarkymo padaliniuose – 5;</w:t>
      </w:r>
    </w:p>
    <w:p>
      <w:pPr>
        <w:pStyle w:val="Normal"/>
        <w:tabs>
          <w:tab w:val="clear" w:pos="1296"/>
          <w:tab w:val="left" w:pos="1418" w:leader="none"/>
        </w:tabs>
        <w:ind w:firstLine="1134"/>
        <w:jc w:val="both"/>
        <w:rPr>
          <w:color w:val="000000"/>
          <w:highlight w:val="white"/>
        </w:rPr>
      </w:pPr>
      <w:r>
        <w:rPr>
          <w:rFonts w:cs="Times New Roman"/>
          <w:color w:val="000000"/>
        </w:rPr>
        <w:t xml:space="preserve">- </w:t>
      </w:r>
      <w:r>
        <w:rPr>
          <w:color w:val="000000"/>
          <w:shd w:fill="FFFFFF" w:val="clear"/>
        </w:rPr>
        <w:t>administracijoje – 5.</w:t>
      </w:r>
    </w:p>
    <w:p>
      <w:pPr>
        <w:pStyle w:val="Normal"/>
        <w:tabs>
          <w:tab w:val="clear" w:pos="1296"/>
          <w:tab w:val="left" w:pos="1134" w:leader="none"/>
        </w:tabs>
        <w:ind w:firstLine="1134"/>
        <w:jc w:val="both"/>
        <w:rPr>
          <w:color w:val="000000"/>
          <w:highlight w:val="white"/>
        </w:rPr>
      </w:pPr>
      <w:r>
        <w:rPr>
          <w:color w:val="000000"/>
          <w:shd w:fill="FFFFFF" w:val="clear"/>
        </w:rPr>
        <w:t>Metinis vidutinis darbuotojų skaičius – 27 darbuotojai.</w:t>
      </w:r>
    </w:p>
    <w:p>
      <w:pPr>
        <w:pStyle w:val="Normal"/>
        <w:tabs>
          <w:tab w:val="clear" w:pos="1296"/>
          <w:tab w:val="left" w:pos="1134" w:leader="none"/>
        </w:tabs>
        <w:ind w:firstLine="1134"/>
        <w:jc w:val="both"/>
        <w:rPr/>
      </w:pPr>
      <w:r>
        <w:rPr/>
        <w:t>Per 2025 metus 7 Bendrovės darbuotojai kėlė profesinę kvalifikaciją:</w:t>
      </w:r>
    </w:p>
    <w:p>
      <w:pPr>
        <w:pStyle w:val="Normal"/>
        <w:tabs>
          <w:tab w:val="clear" w:pos="1296"/>
          <w:tab w:val="left" w:pos="1418" w:leader="none"/>
        </w:tabs>
        <w:ind w:firstLine="1134"/>
        <w:jc w:val="both"/>
        <w:rPr/>
      </w:pPr>
      <w:r>
        <w:rPr>
          <w:rFonts w:cs="Times New Roman"/>
          <w:color w:val="000000"/>
        </w:rPr>
        <w:t xml:space="preserve">- </w:t>
      </w:r>
      <w:r>
        <w:rPr/>
        <w:t>šilumos sektoriaus – 4 darbuotojai;</w:t>
      </w:r>
    </w:p>
    <w:p>
      <w:pPr>
        <w:pStyle w:val="Normal"/>
        <w:tabs>
          <w:tab w:val="clear" w:pos="1296"/>
          <w:tab w:val="left" w:pos="1418" w:leader="none"/>
        </w:tabs>
        <w:ind w:firstLine="1134"/>
        <w:jc w:val="both"/>
        <w:rPr>
          <w:color w:val="000000"/>
          <w:highlight w:val="white"/>
        </w:rPr>
      </w:pPr>
      <w:r>
        <w:rPr>
          <w:rFonts w:cs="Times New Roman"/>
          <w:color w:val="000000"/>
        </w:rPr>
        <w:t xml:space="preserve">- </w:t>
      </w:r>
      <w:r>
        <w:rPr>
          <w:color w:val="000000"/>
          <w:shd w:fill="FFFFFF" w:val="clear"/>
        </w:rPr>
        <w:t>daugiabučių namų administravimo padalinio – 2 darbuotojai;</w:t>
      </w:r>
    </w:p>
    <w:p>
      <w:pPr>
        <w:pStyle w:val="Normal"/>
        <w:tabs>
          <w:tab w:val="clear" w:pos="1296"/>
          <w:tab w:val="left" w:pos="1418" w:leader="none"/>
        </w:tabs>
        <w:ind w:firstLine="1134"/>
        <w:jc w:val="both"/>
        <w:rPr/>
      </w:pPr>
      <w:r>
        <w:rPr>
          <w:rFonts w:cs="Times New Roman"/>
          <w:color w:val="000000"/>
        </w:rPr>
        <w:t xml:space="preserve">- </w:t>
      </w:r>
      <w:r>
        <w:rPr>
          <w:color w:val="000000"/>
          <w:shd w:fill="FFFFFF" w:val="clear"/>
        </w:rPr>
        <w:t>administracijos – 3 darbuotojai.</w:t>
      </w:r>
    </w:p>
    <w:p>
      <w:pPr>
        <w:pStyle w:val="Normal"/>
        <w:ind w:firstLine="1134"/>
        <w:jc w:val="both"/>
        <w:rPr>
          <w:highlight w:val="white"/>
        </w:rPr>
      </w:pPr>
      <w:r>
        <w:rPr>
          <w:shd w:fill="FFFFFF" w:val="clear"/>
        </w:rPr>
        <w:t>Per 2025 metus buvo priskaičiuota   494,6 tūkst. eurų darbo užmokesčio, iš jų:</w:t>
      </w:r>
    </w:p>
    <w:p>
      <w:pPr>
        <w:pStyle w:val="Normal"/>
        <w:tabs>
          <w:tab w:val="clear" w:pos="1296"/>
          <w:tab w:val="left" w:pos="1418" w:leader="none"/>
        </w:tabs>
        <w:ind w:firstLine="1134"/>
        <w:jc w:val="both"/>
        <w:rPr>
          <w:highlight w:val="white"/>
        </w:rPr>
      </w:pPr>
      <w:r>
        <w:rPr>
          <w:rFonts w:cs="Times New Roman"/>
          <w:color w:val="000000"/>
        </w:rPr>
        <w:t xml:space="preserve">- </w:t>
      </w:r>
      <w:r>
        <w:rPr>
          <w:shd w:fill="FFFFFF" w:val="clear"/>
        </w:rPr>
        <w:t>darbuotojams priskaičiuota  361,0 tūkst. eurų.</w:t>
      </w:r>
    </w:p>
    <w:p>
      <w:pPr>
        <w:pStyle w:val="Normal"/>
        <w:tabs>
          <w:tab w:val="clear" w:pos="1296"/>
          <w:tab w:val="left" w:pos="1418" w:leader="none"/>
        </w:tabs>
        <w:ind w:firstLine="1134"/>
        <w:jc w:val="both"/>
        <w:rPr>
          <w:highlight w:val="white"/>
        </w:rPr>
      </w:pPr>
      <w:r>
        <w:rPr>
          <w:rFonts w:cs="Times New Roman"/>
          <w:color w:val="000000"/>
        </w:rPr>
        <w:t>- a</w:t>
      </w:r>
      <w:r>
        <w:rPr>
          <w:shd w:fill="FFFFFF" w:val="clear"/>
        </w:rPr>
        <w:t>dministracijai – 124,6 tūkst. eurų.</w:t>
      </w:r>
    </w:p>
    <w:p>
      <w:pPr>
        <w:pStyle w:val="Normal"/>
        <w:ind w:firstLine="1134"/>
        <w:jc w:val="both"/>
        <w:rPr>
          <w:highlight w:val="white"/>
        </w:rPr>
      </w:pPr>
      <w:r>
        <w:rPr>
          <w:shd w:fill="FFFFFF" w:val="clear"/>
        </w:rPr>
        <w:t>Kompensacijos darbuotojams už nepanaudotas atostogas ir išeitinės išmokos nutraukiant darbo sutartis sudarė 9,0 tūkst. eurų.</w:t>
      </w:r>
    </w:p>
    <w:p>
      <w:pPr>
        <w:pStyle w:val="Normal"/>
        <w:jc w:val="center"/>
        <w:rPr>
          <w:highlight w:val="white"/>
        </w:rPr>
      </w:pPr>
      <w:r>
        <w:rPr>
          <w:highlight w:val="white"/>
        </w:rPr>
      </w:r>
    </w:p>
    <w:p>
      <w:pPr>
        <w:pStyle w:val="Normal"/>
        <w:jc w:val="center"/>
        <w:rPr>
          <w:b/>
          <w:b/>
          <w:bCs/>
          <w:highlight w:val="white"/>
        </w:rPr>
      </w:pPr>
      <w:r>
        <w:rPr>
          <w:b/>
          <w:bCs/>
          <w:shd w:fill="FFFFFF" w:val="clear"/>
        </w:rPr>
        <w:t>VIDUTINIS MĖNESINIS DARBO UŽMOKESTIS</w:t>
      </w:r>
    </w:p>
    <w:p>
      <w:pPr>
        <w:pStyle w:val="Normal"/>
        <w:jc w:val="center"/>
        <w:rPr>
          <w:highlight w:val="white"/>
        </w:rPr>
      </w:pPr>
      <w:r>
        <w:rPr>
          <w:highlight w:val="white"/>
        </w:rPr>
      </w:r>
    </w:p>
    <w:tbl>
      <w:tblPr>
        <w:tblW w:w="10135" w:type="dxa"/>
        <w:jc w:val="left"/>
        <w:tblInd w:w="-2" w:type="dxa"/>
        <w:tblLayout w:type="fixed"/>
        <w:tblCellMar>
          <w:top w:w="55" w:type="dxa"/>
          <w:left w:w="55" w:type="dxa"/>
          <w:bottom w:w="55" w:type="dxa"/>
          <w:right w:w="55" w:type="dxa"/>
        </w:tblCellMar>
        <w:tblLook w:firstRow="1" w:noVBand="1" w:lastRow="0" w:firstColumn="1" w:lastColumn="0" w:noHBand="0" w:val="04a0"/>
      </w:tblPr>
      <w:tblGrid>
        <w:gridCol w:w="2511"/>
        <w:gridCol w:w="2508"/>
        <w:gridCol w:w="2516"/>
        <w:gridCol w:w="2599"/>
      </w:tblGrid>
      <w:tr>
        <w:trPr/>
        <w:tc>
          <w:tcPr>
            <w:tcW w:w="2511"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Darbuotojų kategorijos</w:t>
            </w:r>
          </w:p>
        </w:tc>
        <w:tc>
          <w:tcPr>
            <w:tcW w:w="2508"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2025 m.</w:t>
            </w:r>
          </w:p>
        </w:tc>
        <w:tc>
          <w:tcPr>
            <w:tcW w:w="2516"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2024 m.</w:t>
            </w:r>
          </w:p>
        </w:tc>
        <w:tc>
          <w:tcPr>
            <w:tcW w:w="259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jc w:val="center"/>
              <w:rPr/>
            </w:pPr>
            <w:r>
              <w:rPr/>
              <w:t>Procentinis pokytis</w:t>
            </w:r>
          </w:p>
        </w:tc>
      </w:tr>
      <w:tr>
        <w:trPr/>
        <w:tc>
          <w:tcPr>
            <w:tcW w:w="2511"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Vadovai</w:t>
            </w:r>
          </w:p>
        </w:tc>
        <w:tc>
          <w:tcPr>
            <w:tcW w:w="2508"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2394,49</w:t>
            </w:r>
          </w:p>
        </w:tc>
        <w:tc>
          <w:tcPr>
            <w:tcW w:w="2516"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2218,90</w:t>
            </w:r>
          </w:p>
        </w:tc>
        <w:tc>
          <w:tcPr>
            <w:tcW w:w="259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jc w:val="center"/>
              <w:rPr/>
            </w:pPr>
            <w:r>
              <w:rPr/>
              <w:t>8</w:t>
            </w:r>
          </w:p>
        </w:tc>
      </w:tr>
      <w:tr>
        <w:trPr/>
        <w:tc>
          <w:tcPr>
            <w:tcW w:w="2511"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Specialistai</w:t>
            </w:r>
          </w:p>
        </w:tc>
        <w:tc>
          <w:tcPr>
            <w:tcW w:w="2508"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1802,16</w:t>
            </w:r>
          </w:p>
        </w:tc>
        <w:tc>
          <w:tcPr>
            <w:tcW w:w="2516"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1604,40</w:t>
            </w:r>
          </w:p>
        </w:tc>
        <w:tc>
          <w:tcPr>
            <w:tcW w:w="259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jc w:val="center"/>
              <w:rPr/>
            </w:pPr>
            <w:r>
              <w:rPr/>
              <w:t>12</w:t>
            </w:r>
          </w:p>
        </w:tc>
      </w:tr>
      <w:tr>
        <w:trPr/>
        <w:tc>
          <w:tcPr>
            <w:tcW w:w="2511"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Darbininkai</w:t>
            </w:r>
          </w:p>
        </w:tc>
        <w:tc>
          <w:tcPr>
            <w:tcW w:w="2508"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1366,56</w:t>
            </w:r>
          </w:p>
        </w:tc>
        <w:tc>
          <w:tcPr>
            <w:tcW w:w="2516"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1249,86</w:t>
            </w:r>
          </w:p>
        </w:tc>
        <w:tc>
          <w:tcPr>
            <w:tcW w:w="259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jc w:val="center"/>
              <w:rPr/>
            </w:pPr>
            <w:r>
              <w:rPr/>
              <w:t>9</w:t>
            </w:r>
          </w:p>
        </w:tc>
      </w:tr>
      <w:tr>
        <w:trPr/>
        <w:tc>
          <w:tcPr>
            <w:tcW w:w="2511"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Visi darbuotojai</w:t>
            </w:r>
          </w:p>
        </w:tc>
        <w:tc>
          <w:tcPr>
            <w:tcW w:w="2508"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1591,14</w:t>
            </w:r>
          </w:p>
        </w:tc>
        <w:tc>
          <w:tcPr>
            <w:tcW w:w="2516" w:type="dxa"/>
            <w:tcBorders>
              <w:top w:val="single" w:sz="2" w:space="0" w:color="000000"/>
              <w:left w:val="single" w:sz="2" w:space="0" w:color="000000"/>
              <w:bottom w:val="single" w:sz="2" w:space="0" w:color="000000"/>
            </w:tcBorders>
            <w:shd w:color="auto" w:fill="auto" w:val="clear"/>
          </w:tcPr>
          <w:p>
            <w:pPr>
              <w:pStyle w:val="Lentelsturinys"/>
              <w:widowControl w:val="false"/>
              <w:jc w:val="center"/>
              <w:rPr/>
            </w:pPr>
            <w:r>
              <w:rPr/>
              <w:t>1447,53</w:t>
            </w:r>
          </w:p>
        </w:tc>
        <w:tc>
          <w:tcPr>
            <w:tcW w:w="2599" w:type="dxa"/>
            <w:tcBorders>
              <w:top w:val="single" w:sz="2" w:space="0" w:color="000000"/>
              <w:left w:val="single" w:sz="2" w:space="0" w:color="000000"/>
              <w:bottom w:val="single" w:sz="2" w:space="0" w:color="000000"/>
              <w:right w:val="single" w:sz="2" w:space="0" w:color="000000"/>
            </w:tcBorders>
            <w:shd w:color="auto" w:fill="auto" w:val="clear"/>
          </w:tcPr>
          <w:p>
            <w:pPr>
              <w:pStyle w:val="Lentelsturinys"/>
              <w:widowControl w:val="false"/>
              <w:jc w:val="center"/>
              <w:rPr/>
            </w:pPr>
            <w:r>
              <w:rPr/>
              <w:t>10</w:t>
            </w:r>
          </w:p>
        </w:tc>
      </w:tr>
    </w:tbl>
    <w:p>
      <w:pPr>
        <w:pStyle w:val="Normal"/>
        <w:jc w:val="center"/>
        <w:rPr>
          <w:color w:val="000000"/>
          <w:highlight w:val="white"/>
        </w:rPr>
      </w:pPr>
      <w:r>
        <w:rPr>
          <w:color w:val="000000"/>
          <w:highlight w:val="white"/>
        </w:rPr>
      </w:r>
    </w:p>
    <w:p>
      <w:pPr>
        <w:pStyle w:val="Normal"/>
        <w:jc w:val="center"/>
        <w:rPr>
          <w:b/>
          <w:b/>
          <w:bCs/>
          <w:color w:val="000000"/>
        </w:rPr>
      </w:pPr>
      <w:r>
        <w:rPr>
          <w:b/>
          <w:bCs/>
          <w:color w:val="000000"/>
        </w:rPr>
        <w:t>II SKYRIUS</w:t>
      </w:r>
    </w:p>
    <w:p>
      <w:pPr>
        <w:pStyle w:val="Normal"/>
        <w:jc w:val="center"/>
        <w:rPr>
          <w:b/>
          <w:b/>
          <w:bCs/>
          <w:color w:val="000000"/>
        </w:rPr>
      </w:pPr>
      <w:r>
        <w:rPr>
          <w:b/>
          <w:bCs/>
          <w:color w:val="000000"/>
        </w:rPr>
        <w:t>PROGRAMŲ ĮGYVENDINIMAS</w:t>
      </w:r>
    </w:p>
    <w:p>
      <w:pPr>
        <w:pStyle w:val="Normal"/>
        <w:jc w:val="center"/>
        <w:rPr>
          <w:color w:val="000000"/>
          <w:highlight w:val="yellow"/>
        </w:rPr>
      </w:pPr>
      <w:r>
        <w:rPr>
          <w:color w:val="000000"/>
          <w:highlight w:val="yellow"/>
        </w:rPr>
      </w:r>
    </w:p>
    <w:p>
      <w:pPr>
        <w:pStyle w:val="Normal"/>
        <w:ind w:firstLine="1134"/>
        <w:jc w:val="both"/>
        <w:rPr>
          <w:color w:val="000000"/>
        </w:rPr>
      </w:pPr>
      <w:r>
        <w:rPr>
          <w:color w:val="000000"/>
        </w:rPr>
        <w:t>Per 2025 metus gyventojams suteikta paslaugų už 841,9 tūkst. eurų (su PVM), apmokėta 788,7 tūkst. eurų, iš jų kompensacija mažas pajamas turintiems gyventojams sudarė 149,5 tūkst. eurų, buvo nurašyta 29,6 tūkst. eurų beviltiškų skolų.</w:t>
      </w:r>
    </w:p>
    <w:p>
      <w:pPr>
        <w:pStyle w:val="Normal"/>
        <w:ind w:firstLine="1134"/>
        <w:jc w:val="both"/>
        <w:rPr>
          <w:color w:val="000000"/>
        </w:rPr>
      </w:pPr>
      <w:r>
        <w:rPr>
          <w:color w:val="000000"/>
        </w:rPr>
        <w:t>Per 2025 metus gyventojai įsiskolino Bendrovei 53,2 tūkst. eurų (2024 metais šis rodiklis buvo 100,2 tūkst. eurų). Gyventojų įsiskolinimo likutis 2025 metų gruodžio 31 dieną sudarė 1813,2 tūkst. eurų.</w:t>
      </w:r>
    </w:p>
    <w:p>
      <w:pPr>
        <w:pStyle w:val="Normal"/>
        <w:ind w:firstLine="1134"/>
        <w:jc w:val="both"/>
        <w:rPr>
          <w:color w:val="000000"/>
        </w:rPr>
      </w:pPr>
      <w:r>
        <w:rPr>
          <w:color w:val="000000"/>
        </w:rPr>
        <w:t>Iš jų:</w:t>
      </w:r>
    </w:p>
    <w:p>
      <w:pPr>
        <w:pStyle w:val="Normal"/>
        <w:tabs>
          <w:tab w:val="clear" w:pos="1296"/>
          <w:tab w:val="left" w:pos="1418" w:leader="none"/>
        </w:tabs>
        <w:ind w:left="1134" w:hanging="0"/>
        <w:jc w:val="both"/>
        <w:rPr>
          <w:color w:val="000000"/>
        </w:rPr>
      </w:pPr>
      <w:r>
        <w:rPr>
          <w:rFonts w:cs="Times New Roman"/>
          <w:color w:val="000000"/>
        </w:rPr>
        <w:t xml:space="preserve">- </w:t>
      </w:r>
      <w:r>
        <w:rPr>
          <w:color w:val="000000"/>
        </w:rPr>
        <w:t xml:space="preserve">nesuėjęs mokėjimo terminas – 118,6 tūkst. eurų,  </w:t>
      </w:r>
    </w:p>
    <w:p>
      <w:pPr>
        <w:pStyle w:val="Normal"/>
        <w:tabs>
          <w:tab w:val="clear" w:pos="1296"/>
          <w:tab w:val="left" w:pos="1418" w:leader="none"/>
        </w:tabs>
        <w:ind w:left="1134" w:hanging="0"/>
        <w:jc w:val="both"/>
        <w:rPr>
          <w:color w:val="000000"/>
        </w:rPr>
      </w:pPr>
      <w:r>
        <w:rPr>
          <w:rFonts w:cs="Times New Roman"/>
          <w:color w:val="000000"/>
        </w:rPr>
        <w:t xml:space="preserve">- </w:t>
      </w:r>
      <w:r>
        <w:rPr>
          <w:color w:val="000000"/>
        </w:rPr>
        <w:t>pradelsti mokėjimai – 80,0 tūkst. eurų,</w:t>
      </w:r>
    </w:p>
    <w:p>
      <w:pPr>
        <w:pStyle w:val="Normal"/>
        <w:tabs>
          <w:tab w:val="clear" w:pos="1296"/>
          <w:tab w:val="left" w:pos="1418" w:leader="none"/>
        </w:tabs>
        <w:ind w:left="1134" w:hanging="0"/>
        <w:jc w:val="both"/>
        <w:rPr/>
      </w:pPr>
      <w:r>
        <w:rPr>
          <w:rFonts w:cs="Times New Roman"/>
          <w:color w:val="000000"/>
        </w:rPr>
        <w:t xml:space="preserve">- </w:t>
      </w:r>
      <w:r>
        <w:rPr/>
        <w:t>abejotinos skolos – 753,0 tūkst. eurų,</w:t>
      </w:r>
    </w:p>
    <w:p>
      <w:pPr>
        <w:pStyle w:val="Normal"/>
        <w:tabs>
          <w:tab w:val="clear" w:pos="1296"/>
          <w:tab w:val="left" w:pos="1418" w:leader="none"/>
        </w:tabs>
        <w:ind w:left="1134" w:hanging="0"/>
        <w:jc w:val="both"/>
        <w:rPr>
          <w:color w:val="000000"/>
        </w:rPr>
      </w:pPr>
      <w:r>
        <w:rPr>
          <w:rFonts w:cs="Times New Roman"/>
          <w:color w:val="000000"/>
        </w:rPr>
        <w:t xml:space="preserve">- </w:t>
      </w:r>
      <w:r>
        <w:rPr>
          <w:color w:val="000000"/>
        </w:rPr>
        <w:t>beviltiškos skolos – 861,6 tūkst. eurų.</w:t>
      </w:r>
    </w:p>
    <w:p>
      <w:pPr>
        <w:pStyle w:val="Normal"/>
        <w:ind w:firstLine="1134"/>
        <w:jc w:val="both"/>
        <w:rPr/>
      </w:pPr>
      <w:r>
        <w:rPr>
          <w:color w:val="000000"/>
        </w:rPr>
        <w:t>635,8 tūkst. eurų abejotinų skolų yra Baltarusijos ir Rusijos piliečių butų skolos, kurių šiuo metu išieškoti neįmanoma (2024 m. gruodžio 31 d. ši suma buvo 577,7 euro).</w:t>
      </w:r>
    </w:p>
    <w:p>
      <w:pPr>
        <w:pStyle w:val="Normal"/>
        <w:ind w:firstLine="1134"/>
        <w:jc w:val="both"/>
        <w:rPr>
          <w:shd w:fill="FFFFFF" w:val="clear"/>
        </w:rPr>
      </w:pPr>
      <w:r>
        <w:rPr>
          <w:shd w:fill="FFFFFF" w:val="clear"/>
        </w:rPr>
        <w:t>2025 m. gruodžio 31 d. duomenimis, yra šildoma 760 butų, 85 butai priklauso juridiniams asmenims:</w:t>
      </w:r>
    </w:p>
    <w:p>
      <w:pPr>
        <w:pStyle w:val="Normal"/>
        <w:widowControl/>
        <w:tabs>
          <w:tab w:val="clear" w:pos="1296"/>
          <w:tab w:val="left" w:pos="1418" w:leader="none"/>
        </w:tabs>
        <w:ind w:left="1134" w:hanging="0"/>
        <w:jc w:val="both"/>
        <w:rPr>
          <w:color w:val="000000"/>
          <w:highlight w:val="white"/>
        </w:rPr>
      </w:pPr>
      <w:r>
        <w:rPr>
          <w:rFonts w:cs="Times New Roman"/>
          <w:color w:val="000000"/>
        </w:rPr>
        <w:t xml:space="preserve">- </w:t>
      </w:r>
      <w:r>
        <w:rPr>
          <w:color w:val="000000"/>
          <w:shd w:fill="FFFFFF" w:val="clear"/>
        </w:rPr>
        <w:t>45 butai – Ignalinos r. savivaldybės administracijai;</w:t>
      </w:r>
    </w:p>
    <w:p>
      <w:pPr>
        <w:pStyle w:val="Normal"/>
        <w:widowControl/>
        <w:tabs>
          <w:tab w:val="clear" w:pos="1296"/>
          <w:tab w:val="left" w:pos="1418" w:leader="none"/>
        </w:tabs>
        <w:ind w:left="1134" w:hanging="0"/>
        <w:jc w:val="both"/>
        <w:rPr>
          <w:highlight w:val="white"/>
        </w:rPr>
      </w:pPr>
      <w:r>
        <w:rPr>
          <w:rFonts w:cs="Times New Roman"/>
          <w:color w:val="000000"/>
        </w:rPr>
        <w:t xml:space="preserve">- </w:t>
      </w:r>
      <w:r>
        <w:rPr>
          <w:shd w:fill="FFFFFF" w:val="clear"/>
        </w:rPr>
        <w:t>7 butai – bendrovėms;</w:t>
      </w:r>
    </w:p>
    <w:p>
      <w:pPr>
        <w:pStyle w:val="Normal"/>
        <w:widowControl/>
        <w:tabs>
          <w:tab w:val="clear" w:pos="1296"/>
          <w:tab w:val="left" w:pos="1418" w:leader="none"/>
        </w:tabs>
        <w:ind w:left="1134" w:hanging="0"/>
        <w:jc w:val="both"/>
        <w:rPr>
          <w:highlight w:val="white"/>
        </w:rPr>
      </w:pPr>
      <w:r>
        <w:rPr>
          <w:rFonts w:cs="Times New Roman"/>
          <w:color w:val="000000"/>
        </w:rPr>
        <w:t xml:space="preserve">- </w:t>
      </w:r>
      <w:r>
        <w:rPr>
          <w:shd w:fill="FFFFFF" w:val="clear"/>
        </w:rPr>
        <w:t>21 butas – valstybei (1 Valstybinei mokesčių inspekcijai ir 20 VĮ Turto bankui);</w:t>
      </w:r>
    </w:p>
    <w:p>
      <w:pPr>
        <w:pStyle w:val="Normal"/>
        <w:widowControl/>
        <w:tabs>
          <w:tab w:val="clear" w:pos="1296"/>
          <w:tab w:val="left" w:pos="1418" w:leader="none"/>
        </w:tabs>
        <w:ind w:left="1134" w:hanging="0"/>
        <w:jc w:val="both"/>
        <w:rPr>
          <w:highlight w:val="white"/>
        </w:rPr>
      </w:pPr>
      <w:r>
        <w:rPr>
          <w:rFonts w:cs="Times New Roman"/>
          <w:color w:val="000000"/>
        </w:rPr>
        <w:t xml:space="preserve">- </w:t>
      </w:r>
      <w:r>
        <w:rPr>
          <w:shd w:fill="FFFFFF" w:val="clear"/>
        </w:rPr>
        <w:t>2 butai – Didžiasalio vaikų globos ir socialinės paramos šeimai centrui;</w:t>
      </w:r>
    </w:p>
    <w:p>
      <w:pPr>
        <w:pStyle w:val="Normal"/>
        <w:widowControl/>
        <w:tabs>
          <w:tab w:val="clear" w:pos="1296"/>
          <w:tab w:val="left" w:pos="1418" w:leader="none"/>
        </w:tabs>
        <w:ind w:left="1134" w:hanging="0"/>
        <w:jc w:val="both"/>
        <w:rPr>
          <w:highlight w:val="white"/>
        </w:rPr>
      </w:pPr>
      <w:r>
        <w:rPr>
          <w:rFonts w:cs="Times New Roman"/>
          <w:color w:val="000000"/>
        </w:rPr>
        <w:t xml:space="preserve">- </w:t>
      </w:r>
      <w:r>
        <w:rPr>
          <w:shd w:fill="FFFFFF" w:val="clear"/>
        </w:rPr>
        <w:t>10 butų – UAB „Didžiasalio komunalinės paslaugos“.</w:t>
      </w:r>
    </w:p>
    <w:p>
      <w:pPr>
        <w:pStyle w:val="Normal"/>
        <w:ind w:firstLine="1134"/>
        <w:jc w:val="both"/>
        <w:rPr/>
      </w:pPr>
      <w:r>
        <w:rPr/>
        <w:t>675 butai priklauso gyventojams.</w:t>
      </w:r>
    </w:p>
    <w:p>
      <w:pPr>
        <w:pStyle w:val="Normal"/>
        <w:ind w:firstLine="1134"/>
        <w:jc w:val="both"/>
        <w:rPr/>
      </w:pPr>
      <w:r>
        <w:rPr/>
        <w:t>Atsiskaitymai už paslaugas:</w:t>
      </w:r>
    </w:p>
    <w:p>
      <w:pPr>
        <w:pStyle w:val="Normal"/>
        <w:tabs>
          <w:tab w:val="clear" w:pos="1296"/>
          <w:tab w:val="left" w:pos="1418" w:leader="none"/>
        </w:tabs>
        <w:ind w:left="1134" w:hanging="0"/>
        <w:jc w:val="both"/>
        <w:rPr/>
      </w:pPr>
      <w:r>
        <w:rPr>
          <w:rFonts w:cs="Times New Roman"/>
          <w:color w:val="000000"/>
        </w:rPr>
        <w:t xml:space="preserve">- </w:t>
      </w:r>
      <w:r>
        <w:rPr/>
        <w:t>419 butų paslaugų gavėjai visiškai atsiskaito už komunalines paslaugas (2024 metais – 440);</w:t>
      </w:r>
    </w:p>
    <w:p>
      <w:pPr>
        <w:pStyle w:val="Normal"/>
        <w:tabs>
          <w:tab w:val="clear" w:pos="1296"/>
          <w:tab w:val="left" w:pos="1418" w:leader="none"/>
        </w:tabs>
        <w:ind w:left="1134" w:hanging="0"/>
        <w:jc w:val="both"/>
        <w:rPr/>
      </w:pPr>
      <w:r>
        <w:rPr>
          <w:rFonts w:cs="Times New Roman"/>
          <w:color w:val="000000"/>
        </w:rPr>
        <w:t xml:space="preserve">- </w:t>
      </w:r>
      <w:r>
        <w:rPr/>
        <w:t>už 154 butams teikiamas paslaugas vartotojai visiškai nemoka;</w:t>
      </w:r>
    </w:p>
    <w:p>
      <w:pPr>
        <w:pStyle w:val="Normal"/>
        <w:tabs>
          <w:tab w:val="clear" w:pos="1296"/>
          <w:tab w:val="left" w:pos="1418" w:leader="none"/>
        </w:tabs>
        <w:ind w:left="1134" w:hanging="0"/>
        <w:jc w:val="both"/>
        <w:rPr/>
      </w:pPr>
      <w:r>
        <w:rPr>
          <w:rFonts w:cs="Times New Roman"/>
          <w:color w:val="000000"/>
        </w:rPr>
        <w:t xml:space="preserve">- </w:t>
      </w:r>
      <w:r>
        <w:rPr/>
        <w:t>16 butų vykdomas perdavimo VĮ Turto bankui procesas;</w:t>
      </w:r>
    </w:p>
    <w:p>
      <w:pPr>
        <w:pStyle w:val="Normal"/>
        <w:tabs>
          <w:tab w:val="clear" w:pos="1296"/>
          <w:tab w:val="left" w:pos="1418" w:leader="none"/>
        </w:tabs>
        <w:ind w:left="1134" w:hanging="0"/>
        <w:jc w:val="both"/>
        <w:rPr/>
      </w:pPr>
      <w:r>
        <w:rPr>
          <w:rFonts w:cs="Times New Roman"/>
          <w:color w:val="000000"/>
        </w:rPr>
        <w:t xml:space="preserve">- </w:t>
      </w:r>
      <w:r>
        <w:rPr/>
        <w:t>287 butų paslaugų gavėjai už teikiamas paslaugas turi įsiskolinimų.</w:t>
      </w:r>
    </w:p>
    <w:p>
      <w:pPr>
        <w:pStyle w:val="Normal"/>
        <w:ind w:firstLine="1134"/>
        <w:jc w:val="both"/>
        <w:rPr/>
      </w:pPr>
      <w:r>
        <w:rPr/>
        <w:t>Išieškant skolas vadovaujamasi Bendrovėje patvirtinta skolų išieškojimo tvarka. Iš viso šiuo metu skolų išieškojimo bendrovių ir pačios įmonės jėgomis išieškoma suma nuo Bendrovės veiklos pradžios yra 1,59 mln. eurų. Nuo 1998 m. iki 2025 m. gruodžio 31 d. išieškota 655,6 tūkst. eurų skolų.</w:t>
      </w:r>
    </w:p>
    <w:p>
      <w:pPr>
        <w:pStyle w:val="Normal"/>
        <w:ind w:firstLine="1134"/>
        <w:jc w:val="both"/>
        <w:rPr/>
      </w:pPr>
      <w:r>
        <w:rPr/>
        <w:t>Per 2025 metus:</w:t>
      </w:r>
    </w:p>
    <w:p>
      <w:pPr>
        <w:pStyle w:val="Normal"/>
        <w:tabs>
          <w:tab w:val="clear" w:pos="1296"/>
          <w:tab w:val="left" w:pos="1418" w:leader="none"/>
        </w:tabs>
        <w:ind w:left="1134" w:hanging="0"/>
        <w:jc w:val="both"/>
        <w:rPr/>
      </w:pPr>
      <w:r>
        <w:rPr>
          <w:rFonts w:cs="Times New Roman"/>
          <w:color w:val="000000"/>
        </w:rPr>
        <w:t>- iš</w:t>
      </w:r>
      <w:r>
        <w:rPr/>
        <w:t xml:space="preserve">ieškoma suma per teismą sudarė 66,7 tūkst. eurų, visa suma priteista; </w:t>
      </w:r>
    </w:p>
    <w:p>
      <w:pPr>
        <w:pStyle w:val="Normal"/>
        <w:tabs>
          <w:tab w:val="clear" w:pos="1296"/>
          <w:tab w:val="left" w:pos="1418" w:leader="none"/>
        </w:tabs>
        <w:ind w:left="1134" w:hanging="0"/>
        <w:jc w:val="both"/>
        <w:rPr/>
      </w:pPr>
      <w:r>
        <w:rPr>
          <w:rFonts w:cs="Times New Roman"/>
          <w:color w:val="000000"/>
        </w:rPr>
        <w:t xml:space="preserve">- </w:t>
      </w:r>
      <w:r>
        <w:rPr/>
        <w:t xml:space="preserve">išieškota suma – 49 tūkst. eurų; </w:t>
      </w:r>
    </w:p>
    <w:p>
      <w:pPr>
        <w:pStyle w:val="Normal"/>
        <w:tabs>
          <w:tab w:val="clear" w:pos="1296"/>
          <w:tab w:val="left" w:pos="1418" w:leader="none"/>
        </w:tabs>
        <w:ind w:left="1134" w:hanging="0"/>
        <w:jc w:val="both"/>
        <w:rPr/>
      </w:pPr>
      <w:r>
        <w:rPr>
          <w:rFonts w:cs="Times New Roman"/>
          <w:color w:val="000000"/>
        </w:rPr>
        <w:t xml:space="preserve">- </w:t>
      </w:r>
      <w:r>
        <w:rPr/>
        <w:t xml:space="preserve">skolininkams išsiųsti 56 raginimai ir priminimai; </w:t>
      </w:r>
    </w:p>
    <w:p>
      <w:pPr>
        <w:pStyle w:val="Normal"/>
        <w:tabs>
          <w:tab w:val="clear" w:pos="1296"/>
          <w:tab w:val="left" w:pos="1418" w:leader="none"/>
        </w:tabs>
        <w:ind w:left="1134" w:hanging="0"/>
        <w:jc w:val="both"/>
        <w:rPr/>
      </w:pPr>
      <w:r>
        <w:rPr>
          <w:rFonts w:cs="Times New Roman"/>
          <w:color w:val="000000"/>
        </w:rPr>
        <w:t xml:space="preserve">- </w:t>
      </w:r>
      <w:r>
        <w:rPr/>
        <w:t>sudarytos 33 ikiteisminės skolų grąžinimo sutartys, kurių suma yra 122,8 tūkst. eurų.</w:t>
        <w:tab/>
      </w:r>
    </w:p>
    <w:p>
      <w:pPr>
        <w:pStyle w:val="Normal"/>
        <w:spacing w:lineRule="auto" w:line="276"/>
        <w:jc w:val="center"/>
        <w:rPr>
          <w:b/>
          <w:b/>
          <w:bCs/>
        </w:rPr>
      </w:pPr>
      <w:r>
        <w:rPr>
          <w:b/>
          <w:bCs/>
        </w:rPr>
        <w:t>III SKYRIUS</w:t>
      </w:r>
    </w:p>
    <w:p>
      <w:pPr>
        <w:pStyle w:val="Normal"/>
        <w:spacing w:lineRule="auto" w:line="276"/>
        <w:jc w:val="center"/>
        <w:rPr>
          <w:b/>
          <w:b/>
          <w:bCs/>
        </w:rPr>
      </w:pPr>
      <w:r>
        <w:rPr>
          <w:b/>
          <w:bCs/>
          <w:shd w:fill="FFFFFF" w:val="clear"/>
        </w:rPr>
        <w:t>NUMATOMI PLANAI IR PROGNOZĖS</w:t>
      </w:r>
    </w:p>
    <w:p>
      <w:pPr>
        <w:pStyle w:val="Normal"/>
        <w:ind w:firstLine="567"/>
        <w:rPr/>
      </w:pPr>
      <w:r>
        <w:rPr/>
      </w:r>
    </w:p>
    <w:p>
      <w:pPr>
        <w:pStyle w:val="Normal"/>
        <w:ind w:firstLine="1134"/>
        <w:jc w:val="both"/>
        <w:rPr/>
      </w:pPr>
      <w:r>
        <w:rPr/>
        <w:t xml:space="preserve">Pasibaigus šildymo sezonui, katilinių personalas atliks katilų ir įrangos profilaktinius darbus, ruošiant katilines kitam šildymo sezonui. Bus remontuojama 3 MW katilo biokuro padavimo įranga   Didžiasalio katilinėje, keičiamas nusidėvėjęs kietųjų dalelių filtras. Kiek leis turimos lėšos, planuojama: </w:t>
      </w:r>
    </w:p>
    <w:p>
      <w:pPr>
        <w:pStyle w:val="Normal"/>
        <w:numPr>
          <w:ilvl w:val="0"/>
          <w:numId w:val="1"/>
        </w:numPr>
        <w:ind w:firstLine="414"/>
        <w:jc w:val="both"/>
        <w:rPr>
          <w:color w:val="000000"/>
        </w:rPr>
      </w:pPr>
      <w:r>
        <w:rPr>
          <w:color w:val="000000"/>
        </w:rPr>
        <w:t>Didžiasalio katilinės dūmtraukių ekspertizė, atotampų įrengimas, dažymas;</w:t>
      </w:r>
    </w:p>
    <w:p>
      <w:pPr>
        <w:pStyle w:val="Normal"/>
        <w:numPr>
          <w:ilvl w:val="0"/>
          <w:numId w:val="1"/>
        </w:numPr>
        <w:ind w:firstLine="414"/>
        <w:jc w:val="both"/>
        <w:rPr>
          <w:color w:val="000000"/>
        </w:rPr>
      </w:pPr>
      <w:r>
        <w:rPr>
          <w:color w:val="000000"/>
        </w:rPr>
        <w:t>šilumos punktų remontas (pavarų, reguliuojančių vožtuvų, valdymo automatikos keitimas);</w:t>
      </w:r>
    </w:p>
    <w:p>
      <w:pPr>
        <w:pStyle w:val="Normal"/>
        <w:numPr>
          <w:ilvl w:val="0"/>
          <w:numId w:val="1"/>
        </w:numPr>
        <w:ind w:firstLine="414"/>
        <w:jc w:val="both"/>
        <w:rPr>
          <w:color w:val="000000"/>
        </w:rPr>
      </w:pPr>
      <w:r>
        <w:rPr>
          <w:color w:val="000000"/>
        </w:rPr>
        <w:t>Didžiasalio k. vandentiekio pagrindinių trasų sklendžių DN 100-200 pakeitimas;</w:t>
      </w:r>
    </w:p>
    <w:p>
      <w:pPr>
        <w:pStyle w:val="Normal"/>
        <w:numPr>
          <w:ilvl w:val="0"/>
          <w:numId w:val="1"/>
        </w:numPr>
        <w:ind w:firstLine="414"/>
        <w:jc w:val="both"/>
        <w:rPr/>
      </w:pPr>
      <w:r>
        <w:rPr>
          <w:color w:val="000000"/>
        </w:rPr>
        <w:t>rezervinio elektros generatoriaus įsigijimas;</w:t>
      </w:r>
    </w:p>
    <w:p>
      <w:pPr>
        <w:pStyle w:val="Normal"/>
        <w:numPr>
          <w:ilvl w:val="0"/>
          <w:numId w:val="1"/>
        </w:numPr>
        <w:ind w:firstLine="414"/>
        <w:jc w:val="both"/>
        <w:rPr>
          <w:color w:val="000000"/>
        </w:rPr>
      </w:pPr>
      <w:r>
        <w:rPr>
          <w:color w:val="000000"/>
        </w:rPr>
        <w:t>Didžiasalio k. vandens bokšto paduodamo ir grįžtančio vandens vamzdyno keitimas – 70 m (vamzdynų korozija);</w:t>
      </w:r>
    </w:p>
    <w:p>
      <w:pPr>
        <w:pStyle w:val="Normal"/>
        <w:numPr>
          <w:ilvl w:val="0"/>
          <w:numId w:val="1"/>
        </w:numPr>
        <w:ind w:firstLine="414"/>
        <w:jc w:val="both"/>
        <w:rPr>
          <w:color w:val="000000"/>
        </w:rPr>
      </w:pPr>
      <w:r>
        <w:rPr>
          <w:color w:val="000000"/>
        </w:rPr>
        <w:t>priverstinės papildomos ventiliacijos įrengimas Didžiasalio k. valymo įrenginių valdymo automatikos patalpoje;</w:t>
      </w:r>
    </w:p>
    <w:p>
      <w:pPr>
        <w:pStyle w:val="Normal"/>
        <w:numPr>
          <w:ilvl w:val="0"/>
          <w:numId w:val="1"/>
        </w:numPr>
        <w:ind w:firstLine="414"/>
        <w:jc w:val="both"/>
        <w:rPr>
          <w:color w:val="000000"/>
        </w:rPr>
      </w:pPr>
      <w:r>
        <w:rPr>
          <w:color w:val="000000"/>
        </w:rPr>
        <w:t>Didžiasalio vandenvietės bokšto 100 m³ talpos rezervuaro ekspertizė (metalo korozija, progresuoja trūkimai).</w:t>
      </w:r>
    </w:p>
    <w:p>
      <w:pPr>
        <w:pStyle w:val="Normal"/>
        <w:ind w:firstLine="1134"/>
        <w:jc w:val="both"/>
        <w:rPr/>
      </w:pPr>
      <w:r>
        <w:rPr>
          <w:color w:val="000000"/>
        </w:rPr>
        <w:t>Planuojama investicijų suma – 76 tūkst. eurų.</w:t>
      </w:r>
    </w:p>
    <w:p>
      <w:pPr>
        <w:pStyle w:val="Normal"/>
        <w:ind w:firstLine="1134"/>
        <w:jc w:val="both"/>
        <w:rPr/>
      </w:pPr>
      <w:r>
        <w:rPr/>
        <w:t xml:space="preserve">Numatoma pagal poreikį remontuoti gyvenamųjų namų stogus, laiptines, daugiabučių namų sienų siūles, įėjimo stogelius, šildymo, vandens tiekimo, nuotekų surinkimo sistemas ir jų įrangą. </w:t>
      </w:r>
    </w:p>
    <w:p>
      <w:pPr>
        <w:pStyle w:val="Normal"/>
        <w:jc w:val="both"/>
        <w:rPr>
          <w:color w:val="000000"/>
          <w:highlight w:val="white"/>
        </w:rPr>
      </w:pPr>
      <w:r>
        <w:rPr>
          <w:color w:val="000000"/>
          <w:highlight w:val="white"/>
        </w:rPr>
      </w:r>
    </w:p>
    <w:p>
      <w:pPr>
        <w:pStyle w:val="Normal"/>
        <w:jc w:val="center"/>
        <w:rPr>
          <w:color w:val="000000"/>
          <w:highlight w:val="white"/>
        </w:rPr>
      </w:pPr>
      <w:r>
        <w:rPr>
          <w:color w:val="000000"/>
          <w:highlight w:val="white"/>
        </w:rPr>
        <w:t>_________</w:t>
      </w:r>
    </w:p>
    <w:sectPr>
      <w:footerReference w:type="default" r:id="rId2"/>
      <w:type w:val="nextPage"/>
      <w:pgSz w:w="11906" w:h="16838"/>
      <w:pgMar w:left="1134" w:right="572" w:header="0" w:top="1135" w:footer="283" w:bottom="43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Tahoma">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isplayBackgroundShape/>
  <w:defaultTabStop w:val="1296"/>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396"/>
  <w:themeFontLang w:val="lt-L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lt-LT"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textAlignment w:val="baseline"/>
    </w:pPr>
    <w:rPr>
      <w:rFonts w:ascii="Times New Roman" w:hAnsi="Times New Roman" w:eastAsia="Lucida Sans Unicode" w:cs="Mangal;Liberation Mono"/>
      <w:color w:val="auto"/>
      <w:kern w:val="2"/>
      <w:sz w:val="24"/>
      <w:szCs w:val="24"/>
      <w:lang w:val="lt-LT" w:eastAsia="zh-CN" w:bidi="hi-IN"/>
    </w:rPr>
  </w:style>
  <w:style w:type="paragraph" w:styleId="Heading2">
    <w:name w:val="Heading 2"/>
    <w:basedOn w:val="Normal"/>
    <w:next w:val="Normal"/>
    <w:uiPriority w:val="9"/>
    <w:semiHidden/>
    <w:unhideWhenUsed/>
    <w:qFormat/>
    <w:pPr>
      <w:keepNext w:val="true"/>
      <w:keepLines/>
      <w:spacing w:before="40" w:after="0"/>
      <w:outlineLvl w:val="1"/>
    </w:pPr>
    <w:rPr>
      <w:rFonts w:ascii="Calibri Light" w:hAnsi="Calibri Light" w:eastAsia="Times New Roman" w:cs="Calibri Light"/>
      <w:color w:val="2F5496"/>
      <w:sz w:val="26"/>
      <w:szCs w:val="23"/>
    </w:rPr>
  </w:style>
  <w:style w:type="character" w:styleId="DefaultParagraphFont" w:default="1">
    <w:name w:val="Default Paragraph Font"/>
    <w:uiPriority w:val="1"/>
    <w:semiHidden/>
    <w:unhideWhenUsed/>
    <w:qFormat/>
    <w:rPr/>
  </w:style>
  <w:style w:type="character" w:styleId="WW8Num2z0" w:customStyle="1">
    <w:name w:val="WW8Num2z0"/>
    <w:qFormat/>
    <w:rPr>
      <w:rFonts w:ascii="Times New Roman" w:hAnsi="Times New Roman" w:cs="Times New Roman"/>
      <w:color w:val="000000"/>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3z0" w:customStyle="1">
    <w:name w:val="WW8Num3z0"/>
    <w:qFormat/>
    <w:rPr>
      <w:rFonts w:ascii="Times New Roman" w:hAnsi="Times New Roman" w:cs="Times New Roman"/>
      <w:color w:val="000000"/>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Symbol" w:hAnsi="Symbol" w:cs="OpenSymbol;Arial Unicode MS"/>
    </w:rPr>
  </w:style>
  <w:style w:type="character" w:styleId="WW8Num4z1" w:customStyle="1">
    <w:name w:val="WW8Num4z1"/>
    <w:qFormat/>
    <w:rPr>
      <w:rFonts w:ascii="OpenSymbol;Arial Unicode MS" w:hAnsi="OpenSymbol;Arial Unicode MS" w:cs="OpenSymbol;Arial Unicode MS"/>
      <w:color w:val="000000"/>
      <w:sz w:val="23"/>
      <w:szCs w:val="23"/>
    </w:rPr>
  </w:style>
  <w:style w:type="character" w:styleId="WW8Num5z0" w:customStyle="1">
    <w:name w:val="WW8Num5z0"/>
    <w:qFormat/>
    <w:rPr>
      <w:rFonts w:ascii="Symbol" w:hAnsi="Symbol" w:cs="OpenSymbol;Arial Unicode MS"/>
    </w:rPr>
  </w:style>
  <w:style w:type="character" w:styleId="WW8Num5z1" w:customStyle="1">
    <w:name w:val="WW8Num5z1"/>
    <w:qFormat/>
    <w:rPr>
      <w:rFonts w:ascii="OpenSymbol;Arial Unicode MS" w:hAnsi="OpenSymbol;Arial Unicode MS" w:cs="OpenSymbol;Arial Unicode MS"/>
      <w:color w:val="000000"/>
    </w:rPr>
  </w:style>
  <w:style w:type="character" w:styleId="WW8Num6z0" w:customStyle="1">
    <w:name w:val="WW8Num6z0"/>
    <w:qFormat/>
    <w:rPr>
      <w:rFonts w:ascii="Symbol" w:hAnsi="Symbol" w:cs="OpenSymbol;Arial Unicode MS"/>
      <w:color w:val="000000"/>
    </w:rPr>
  </w:style>
  <w:style w:type="character" w:styleId="WW8Num6z1" w:customStyle="1">
    <w:name w:val="WW8Num6z1"/>
    <w:qFormat/>
    <w:rPr>
      <w:rFonts w:ascii="OpenSymbol;Arial Unicode MS" w:hAnsi="OpenSymbol;Arial Unicode MS" w:cs="OpenSymbol;Arial Unicode MS"/>
    </w:rPr>
  </w:style>
  <w:style w:type="character" w:styleId="WW8Num7z0" w:customStyle="1">
    <w:name w:val="WW8Num7z0"/>
    <w:qFormat/>
    <w:rPr>
      <w:rFonts w:ascii="Symbol" w:hAnsi="Symbol" w:cs="OpenSymbol;Arial Unicode MS"/>
      <w:color w:val="000000"/>
    </w:rPr>
  </w:style>
  <w:style w:type="character" w:styleId="WW8Num7z1" w:customStyle="1">
    <w:name w:val="WW8Num7z1"/>
    <w:qFormat/>
    <w:rPr>
      <w:rFonts w:ascii="OpenSymbol;Arial Unicode MS" w:hAnsi="OpenSymbol;Arial Unicode MS" w:cs="OpenSymbol;Arial Unicode MS"/>
    </w:rPr>
  </w:style>
  <w:style w:type="character" w:styleId="WW8Num8z0" w:customStyle="1">
    <w:name w:val="WW8Num8z0"/>
    <w:qFormat/>
    <w:rPr>
      <w:rFonts w:ascii="Symbol" w:hAnsi="Symbol" w:cs="OpenSymbol;Arial Unicode MS"/>
    </w:rPr>
  </w:style>
  <w:style w:type="character" w:styleId="WW8Num8z1" w:customStyle="1">
    <w:name w:val="WW8Num8z1"/>
    <w:qFormat/>
    <w:rPr>
      <w:rFonts w:ascii="OpenSymbol;Arial Unicode MS" w:hAnsi="OpenSymbol;Arial Unicode MS" w:cs="OpenSymbol;Arial Unicode MS"/>
      <w:color w:val="000000"/>
      <w:shd w:fill="FFFFFF" w:val="clear"/>
    </w:rPr>
  </w:style>
  <w:style w:type="character" w:styleId="WW8Num9z0" w:customStyle="1">
    <w:name w:val="WW8Num9z0"/>
    <w:qFormat/>
    <w:rPr>
      <w:rFonts w:ascii="Symbol" w:hAnsi="Symbol" w:cs="OpenSymbol;Arial Unicode MS"/>
    </w:rPr>
  </w:style>
  <w:style w:type="character" w:styleId="WW8Num9z1" w:customStyle="1">
    <w:name w:val="WW8Num9z1"/>
    <w:qFormat/>
    <w:rPr>
      <w:rFonts w:ascii="OpenSymbol;Arial Unicode MS" w:hAnsi="OpenSymbol;Arial Unicode MS" w:cs="OpenSymbol;Arial Unicode MS"/>
      <w:shd w:fill="FFFFFF" w:val="clear"/>
    </w:rPr>
  </w:style>
  <w:style w:type="character" w:styleId="WW8Num10z0" w:customStyle="1">
    <w:name w:val="WW8Num10z0"/>
    <w:qFormat/>
    <w:rPr>
      <w:rFonts w:ascii="Symbol" w:hAnsi="Symbol" w:cs="OpenSymbol;Arial Unicode MS"/>
    </w:rPr>
  </w:style>
  <w:style w:type="character" w:styleId="WW8Num10z1" w:customStyle="1">
    <w:name w:val="WW8Num10z1"/>
    <w:qFormat/>
    <w:rPr>
      <w:rFonts w:ascii="OpenSymbol;Arial Unicode MS" w:hAnsi="OpenSymbol;Arial Unicode MS" w:cs="OpenSymbol;Arial Unicode MS"/>
      <w:shd w:fill="FFFFFF" w:val="clear"/>
    </w:rPr>
  </w:style>
  <w:style w:type="character" w:styleId="WW8Num11z0" w:customStyle="1">
    <w:name w:val="WW8Num11z0"/>
    <w:qFormat/>
    <w:rPr>
      <w:rFonts w:ascii="Symbol" w:hAnsi="Symbol" w:cs="OpenSymbol;Arial Unicode MS"/>
    </w:rPr>
  </w:style>
  <w:style w:type="character" w:styleId="WW8Num11z1" w:customStyle="1">
    <w:name w:val="WW8Num11z1"/>
    <w:qFormat/>
    <w:rPr>
      <w:rFonts w:ascii="OpenSymbol;Arial Unicode MS" w:hAnsi="OpenSymbol;Arial Unicode MS" w:cs="OpenSymbol;Arial Unicode MS"/>
    </w:rPr>
  </w:style>
  <w:style w:type="character" w:styleId="WWDefaultParagraphFont" w:customStyle="1">
    <w:name w:val="WW-Default Paragraph Font"/>
    <w:qFormat/>
    <w:rPr/>
  </w:style>
  <w:style w:type="character" w:styleId="WW8Num1zfalse" w:customStyle="1">
    <w:name w:val="WW8Num1zfalse"/>
    <w:qFormat/>
    <w:rPr/>
  </w:style>
  <w:style w:type="character" w:styleId="WW8Num1ztrue" w:customStyle="1">
    <w:name w:val="WW8Num1ztrue"/>
    <w:qFormat/>
    <w:rPr/>
  </w:style>
  <w:style w:type="character" w:styleId="WW8Num2zfalse" w:customStyle="1">
    <w:name w:val="WW8Num2zfalse"/>
    <w:qFormat/>
    <w:rPr/>
  </w:style>
  <w:style w:type="character" w:styleId="WW8Num2ztrue" w:customStyle="1">
    <w:name w:val="WW8Num2ztrue"/>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8Num5z2" w:customStyle="1">
    <w:name w:val="WW8Num5z2"/>
    <w:qFormat/>
    <w:rPr>
      <w:rFonts w:ascii="Wingdings" w:hAnsi="Wingdings" w:eastAsia="Wingdings" w:cs="Wingdings"/>
    </w:rPr>
  </w:style>
  <w:style w:type="character" w:styleId="WW8Num5z3" w:customStyle="1">
    <w:name w:val="WW8Num5z3"/>
    <w:qFormat/>
    <w:rPr>
      <w:rFonts w:ascii="Symbol" w:hAnsi="Symbol" w:eastAsia="Symbol" w:cs="Symbol"/>
    </w:rPr>
  </w:style>
  <w:style w:type="character" w:styleId="WW8Num7z2" w:customStyle="1">
    <w:name w:val="WW8Num7z2"/>
    <w:qFormat/>
    <w:rPr>
      <w:rFonts w:ascii="Wingdings" w:hAnsi="Wingdings" w:eastAsia="Wingdings" w:cs="Wingdings"/>
    </w:rPr>
  </w:style>
  <w:style w:type="character" w:styleId="InternetLink">
    <w:name w:val="Hyperlink"/>
    <w:rPr>
      <w:color w:val="000080"/>
      <w:u w:val="single"/>
    </w:rPr>
  </w:style>
  <w:style w:type="character" w:styleId="Numeravimosimboliai" w:customStyle="1">
    <w:name w:val="Numeravimo simboliai"/>
    <w:qFormat/>
    <w:rPr/>
  </w:style>
  <w:style w:type="character" w:styleId="Antrat2Diagrama" w:customStyle="1">
    <w:name w:val="Antraštė 2 Diagrama"/>
    <w:qFormat/>
    <w:rPr>
      <w:rFonts w:ascii="Calibri Light" w:hAnsi="Calibri Light" w:eastAsia="Times New Roman" w:cs="Calibri Light"/>
      <w:color w:val="2F5496"/>
      <w:sz w:val="26"/>
      <w:szCs w:val="23"/>
    </w:rPr>
  </w:style>
  <w:style w:type="character" w:styleId="AntratsDiagrama" w:customStyle="1">
    <w:name w:val="Antraštės Diagrama"/>
    <w:qFormat/>
    <w:rPr>
      <w:szCs w:val="21"/>
    </w:rPr>
  </w:style>
  <w:style w:type="character" w:styleId="PoratDiagrama" w:customStyle="1">
    <w:name w:val="Poraštė Diagrama"/>
    <w:qFormat/>
    <w:rPr>
      <w:szCs w:val="21"/>
    </w:rPr>
  </w:style>
  <w:style w:type="character" w:styleId="Emphasis">
    <w:name w:val="Emphasis"/>
    <w:qFormat/>
    <w:rPr>
      <w:i/>
      <w:iCs/>
    </w:rPr>
  </w:style>
  <w:style w:type="character" w:styleId="Bullets" w:customStyle="1">
    <w:name w:val="Bullets"/>
    <w:qFormat/>
    <w:rPr>
      <w:rFonts w:ascii="OpenSymbol;Arial Unicode MS" w:hAnsi="OpenSymbol;Arial Unicode MS" w:eastAsia="OpenSymbol;Arial Unicode MS" w:cs="OpenSymbol;Arial Unicode MS"/>
    </w:rPr>
  </w:style>
  <w:style w:type="character" w:styleId="WWCharLFO3LVL1" w:customStyle="1">
    <w:name w:val="WW_CharLFO3LVL1"/>
    <w:qFormat/>
    <w:rPr>
      <w:rFonts w:ascii="OpenSymbol;Arial Unicode MS" w:hAnsi="OpenSymbol;Arial Unicode MS" w:eastAsia="OpenSymbol;Arial Unicode MS" w:cs="OpenSymbol;Arial Unicode MS"/>
    </w:rPr>
  </w:style>
  <w:style w:type="character" w:styleId="WWCharLFO3LVL2" w:customStyle="1">
    <w:name w:val="WW_CharLFO3LVL2"/>
    <w:qFormat/>
    <w:rPr>
      <w:rFonts w:ascii="OpenSymbol;Arial Unicode MS" w:hAnsi="OpenSymbol;Arial Unicode MS" w:eastAsia="OpenSymbol;Arial Unicode MS" w:cs="OpenSymbol;Arial Unicode MS"/>
    </w:rPr>
  </w:style>
  <w:style w:type="character" w:styleId="WWCharLFO3LVL3" w:customStyle="1">
    <w:name w:val="WW_CharLFO3LVL3"/>
    <w:qFormat/>
    <w:rPr>
      <w:rFonts w:ascii="OpenSymbol;Arial Unicode MS" w:hAnsi="OpenSymbol;Arial Unicode MS" w:eastAsia="OpenSymbol;Arial Unicode MS" w:cs="OpenSymbol;Arial Unicode MS"/>
    </w:rPr>
  </w:style>
  <w:style w:type="character" w:styleId="WWCharLFO3LVL4" w:customStyle="1">
    <w:name w:val="WW_CharLFO3LVL4"/>
    <w:qFormat/>
    <w:rPr>
      <w:rFonts w:ascii="OpenSymbol;Arial Unicode MS" w:hAnsi="OpenSymbol;Arial Unicode MS" w:eastAsia="OpenSymbol;Arial Unicode MS" w:cs="OpenSymbol;Arial Unicode MS"/>
    </w:rPr>
  </w:style>
  <w:style w:type="character" w:styleId="WWCharLFO3LVL5" w:customStyle="1">
    <w:name w:val="WW_CharLFO3LVL5"/>
    <w:qFormat/>
    <w:rPr>
      <w:rFonts w:ascii="OpenSymbol;Arial Unicode MS" w:hAnsi="OpenSymbol;Arial Unicode MS" w:eastAsia="OpenSymbol;Arial Unicode MS" w:cs="OpenSymbol;Arial Unicode MS"/>
    </w:rPr>
  </w:style>
  <w:style w:type="character" w:styleId="WWCharLFO3LVL6" w:customStyle="1">
    <w:name w:val="WW_CharLFO3LVL6"/>
    <w:qFormat/>
    <w:rPr>
      <w:rFonts w:ascii="OpenSymbol;Arial Unicode MS" w:hAnsi="OpenSymbol;Arial Unicode MS" w:eastAsia="OpenSymbol;Arial Unicode MS" w:cs="OpenSymbol;Arial Unicode MS"/>
    </w:rPr>
  </w:style>
  <w:style w:type="character" w:styleId="WWCharLFO3LVL7" w:customStyle="1">
    <w:name w:val="WW_CharLFO3LVL7"/>
    <w:qFormat/>
    <w:rPr>
      <w:rFonts w:ascii="OpenSymbol;Arial Unicode MS" w:hAnsi="OpenSymbol;Arial Unicode MS" w:eastAsia="OpenSymbol;Arial Unicode MS" w:cs="OpenSymbol;Arial Unicode MS"/>
    </w:rPr>
  </w:style>
  <w:style w:type="character" w:styleId="WWCharLFO3LVL8" w:customStyle="1">
    <w:name w:val="WW_CharLFO3LVL8"/>
    <w:qFormat/>
    <w:rPr>
      <w:rFonts w:ascii="OpenSymbol;Arial Unicode MS" w:hAnsi="OpenSymbol;Arial Unicode MS" w:eastAsia="OpenSymbol;Arial Unicode MS" w:cs="OpenSymbol;Arial Unicode MS"/>
    </w:rPr>
  </w:style>
  <w:style w:type="character" w:styleId="WWCharLFO3LVL9" w:customStyle="1">
    <w:name w:val="WW_CharLFO3LVL9"/>
    <w:qFormat/>
    <w:rPr>
      <w:rFonts w:ascii="OpenSymbol;Arial Unicode MS" w:hAnsi="OpenSymbol;Arial Unicode MS" w:eastAsia="OpenSymbol;Arial Unicode MS" w:cs="OpenSymbol;Arial Unicode MS"/>
    </w:rPr>
  </w:style>
  <w:style w:type="character" w:styleId="WWCharLFO4LVL1" w:customStyle="1">
    <w:name w:val="WW_CharLFO4LVL1"/>
    <w:qFormat/>
    <w:rPr>
      <w:rFonts w:ascii="Times New Roman" w:hAnsi="Times New Roman" w:eastAsia="Times New Roman" w:cs="Times New Roman"/>
    </w:rPr>
  </w:style>
  <w:style w:type="character" w:styleId="WWCharLFO4LVL2" w:customStyle="1">
    <w:name w:val="WW_CharLFO4LVL2"/>
    <w:qFormat/>
    <w:rPr>
      <w:rFonts w:ascii="Courier New" w:hAnsi="Courier New" w:cs="Courier New"/>
    </w:rPr>
  </w:style>
  <w:style w:type="character" w:styleId="WWCharLFO4LVL3" w:customStyle="1">
    <w:name w:val="WW_CharLFO4LVL3"/>
    <w:qFormat/>
    <w:rPr>
      <w:rFonts w:ascii="Wingdings" w:hAnsi="Wingdings" w:cs="Wingdings"/>
    </w:rPr>
  </w:style>
  <w:style w:type="character" w:styleId="WWCharLFO4LVL4" w:customStyle="1">
    <w:name w:val="WW_CharLFO4LVL4"/>
    <w:qFormat/>
    <w:rPr>
      <w:rFonts w:ascii="Symbol" w:hAnsi="Symbol" w:cs="Symbol"/>
    </w:rPr>
  </w:style>
  <w:style w:type="character" w:styleId="WWCharLFO4LVL5" w:customStyle="1">
    <w:name w:val="WW_CharLFO4LVL5"/>
    <w:qFormat/>
    <w:rPr>
      <w:rFonts w:ascii="Courier New" w:hAnsi="Courier New" w:cs="Courier New"/>
    </w:rPr>
  </w:style>
  <w:style w:type="character" w:styleId="WWCharLFO4LVL6" w:customStyle="1">
    <w:name w:val="WW_CharLFO4LVL6"/>
    <w:qFormat/>
    <w:rPr>
      <w:rFonts w:ascii="Wingdings" w:hAnsi="Wingdings" w:cs="Wingdings"/>
    </w:rPr>
  </w:style>
  <w:style w:type="character" w:styleId="WWCharLFO4LVL7" w:customStyle="1">
    <w:name w:val="WW_CharLFO4LVL7"/>
    <w:qFormat/>
    <w:rPr>
      <w:rFonts w:ascii="Symbol" w:hAnsi="Symbol" w:cs="Symbol"/>
    </w:rPr>
  </w:style>
  <w:style w:type="character" w:styleId="WWCharLFO4LVL8" w:customStyle="1">
    <w:name w:val="WW_CharLFO4LVL8"/>
    <w:qFormat/>
    <w:rPr>
      <w:rFonts w:ascii="Courier New" w:hAnsi="Courier New" w:cs="Courier New"/>
    </w:rPr>
  </w:style>
  <w:style w:type="character" w:styleId="WWCharLFO4LVL9" w:customStyle="1">
    <w:name w:val="WW_CharLFO4LVL9"/>
    <w:qFormat/>
    <w:rPr>
      <w:rFonts w:ascii="Wingdings" w:hAnsi="Wingdings" w:cs="Wingdings"/>
    </w:rPr>
  </w:style>
  <w:style w:type="character" w:styleId="WWCharLFO5LVL1" w:customStyle="1">
    <w:name w:val="WW_CharLFO5LVL1"/>
    <w:qFormat/>
    <w:rPr>
      <w:rFonts w:ascii="OpenSymbol;Arial Unicode MS" w:hAnsi="OpenSymbol;Arial Unicode MS" w:eastAsia="OpenSymbol;Arial Unicode MS" w:cs="OpenSymbol;Arial Unicode MS"/>
    </w:rPr>
  </w:style>
  <w:style w:type="character" w:styleId="WWCharLFO5LVL2" w:customStyle="1">
    <w:name w:val="WW_CharLFO5LVL2"/>
    <w:qFormat/>
    <w:rPr>
      <w:rFonts w:ascii="OpenSymbol;Arial Unicode MS" w:hAnsi="OpenSymbol;Arial Unicode MS" w:eastAsia="OpenSymbol;Arial Unicode MS" w:cs="OpenSymbol;Arial Unicode MS"/>
    </w:rPr>
  </w:style>
  <w:style w:type="character" w:styleId="WWCharLFO5LVL3" w:customStyle="1">
    <w:name w:val="WW_CharLFO5LVL3"/>
    <w:qFormat/>
    <w:rPr>
      <w:rFonts w:ascii="OpenSymbol;Arial Unicode MS" w:hAnsi="OpenSymbol;Arial Unicode MS" w:eastAsia="OpenSymbol;Arial Unicode MS" w:cs="OpenSymbol;Arial Unicode MS"/>
    </w:rPr>
  </w:style>
  <w:style w:type="character" w:styleId="WWCharLFO5LVL4" w:customStyle="1">
    <w:name w:val="WW_CharLFO5LVL4"/>
    <w:qFormat/>
    <w:rPr>
      <w:rFonts w:ascii="OpenSymbol;Arial Unicode MS" w:hAnsi="OpenSymbol;Arial Unicode MS" w:eastAsia="OpenSymbol;Arial Unicode MS" w:cs="OpenSymbol;Arial Unicode MS"/>
    </w:rPr>
  </w:style>
  <w:style w:type="character" w:styleId="WWCharLFO5LVL5" w:customStyle="1">
    <w:name w:val="WW_CharLFO5LVL5"/>
    <w:qFormat/>
    <w:rPr>
      <w:rFonts w:ascii="OpenSymbol;Arial Unicode MS" w:hAnsi="OpenSymbol;Arial Unicode MS" w:eastAsia="OpenSymbol;Arial Unicode MS" w:cs="OpenSymbol;Arial Unicode MS"/>
    </w:rPr>
  </w:style>
  <w:style w:type="character" w:styleId="WWCharLFO5LVL6" w:customStyle="1">
    <w:name w:val="WW_CharLFO5LVL6"/>
    <w:qFormat/>
    <w:rPr>
      <w:rFonts w:ascii="OpenSymbol;Arial Unicode MS" w:hAnsi="OpenSymbol;Arial Unicode MS" w:eastAsia="OpenSymbol;Arial Unicode MS" w:cs="OpenSymbol;Arial Unicode MS"/>
    </w:rPr>
  </w:style>
  <w:style w:type="character" w:styleId="WWCharLFO5LVL7" w:customStyle="1">
    <w:name w:val="WW_CharLFO5LVL7"/>
    <w:qFormat/>
    <w:rPr>
      <w:rFonts w:ascii="OpenSymbol;Arial Unicode MS" w:hAnsi="OpenSymbol;Arial Unicode MS" w:eastAsia="OpenSymbol;Arial Unicode MS" w:cs="OpenSymbol;Arial Unicode MS"/>
    </w:rPr>
  </w:style>
  <w:style w:type="character" w:styleId="WWCharLFO5LVL8" w:customStyle="1">
    <w:name w:val="WW_CharLFO5LVL8"/>
    <w:qFormat/>
    <w:rPr>
      <w:rFonts w:ascii="OpenSymbol;Arial Unicode MS" w:hAnsi="OpenSymbol;Arial Unicode MS" w:eastAsia="OpenSymbol;Arial Unicode MS" w:cs="OpenSymbol;Arial Unicode MS"/>
    </w:rPr>
  </w:style>
  <w:style w:type="character" w:styleId="WWCharLFO5LVL9" w:customStyle="1">
    <w:name w:val="WW_CharLFO5LVL9"/>
    <w:qFormat/>
    <w:rPr>
      <w:rFonts w:ascii="OpenSymbol;Arial Unicode MS" w:hAnsi="OpenSymbol;Arial Unicode MS" w:eastAsia="OpenSymbol;Arial Unicode MS" w:cs="OpenSymbol;Arial Unicode MS"/>
    </w:rPr>
  </w:style>
  <w:style w:type="character" w:styleId="WWCharLFO6LVL1" w:customStyle="1">
    <w:name w:val="WW_CharLFO6LVL1"/>
    <w:qFormat/>
    <w:rPr>
      <w:rFonts w:ascii="OpenSymbol;Arial Unicode MS" w:hAnsi="OpenSymbol;Arial Unicode MS" w:eastAsia="OpenSymbol;Arial Unicode MS" w:cs="OpenSymbol;Arial Unicode MS"/>
    </w:rPr>
  </w:style>
  <w:style w:type="character" w:styleId="WWCharLFO6LVL2" w:customStyle="1">
    <w:name w:val="WW_CharLFO6LVL2"/>
    <w:qFormat/>
    <w:rPr>
      <w:rFonts w:ascii="OpenSymbol;Arial Unicode MS" w:hAnsi="OpenSymbol;Arial Unicode MS" w:eastAsia="OpenSymbol;Arial Unicode MS" w:cs="OpenSymbol;Arial Unicode MS"/>
    </w:rPr>
  </w:style>
  <w:style w:type="character" w:styleId="WWCharLFO6LVL3" w:customStyle="1">
    <w:name w:val="WW_CharLFO6LVL3"/>
    <w:qFormat/>
    <w:rPr>
      <w:rFonts w:ascii="OpenSymbol;Arial Unicode MS" w:hAnsi="OpenSymbol;Arial Unicode MS" w:eastAsia="OpenSymbol;Arial Unicode MS" w:cs="OpenSymbol;Arial Unicode MS"/>
    </w:rPr>
  </w:style>
  <w:style w:type="character" w:styleId="WWCharLFO6LVL4" w:customStyle="1">
    <w:name w:val="WW_CharLFO6LVL4"/>
    <w:qFormat/>
    <w:rPr>
      <w:rFonts w:ascii="OpenSymbol;Arial Unicode MS" w:hAnsi="OpenSymbol;Arial Unicode MS" w:eastAsia="OpenSymbol;Arial Unicode MS" w:cs="OpenSymbol;Arial Unicode MS"/>
    </w:rPr>
  </w:style>
  <w:style w:type="character" w:styleId="WWCharLFO6LVL5" w:customStyle="1">
    <w:name w:val="WW_CharLFO6LVL5"/>
    <w:qFormat/>
    <w:rPr>
      <w:rFonts w:ascii="OpenSymbol;Arial Unicode MS" w:hAnsi="OpenSymbol;Arial Unicode MS" w:eastAsia="OpenSymbol;Arial Unicode MS" w:cs="OpenSymbol;Arial Unicode MS"/>
    </w:rPr>
  </w:style>
  <w:style w:type="character" w:styleId="WWCharLFO6LVL6" w:customStyle="1">
    <w:name w:val="WW_CharLFO6LVL6"/>
    <w:qFormat/>
    <w:rPr>
      <w:rFonts w:ascii="OpenSymbol;Arial Unicode MS" w:hAnsi="OpenSymbol;Arial Unicode MS" w:eastAsia="OpenSymbol;Arial Unicode MS" w:cs="OpenSymbol;Arial Unicode MS"/>
    </w:rPr>
  </w:style>
  <w:style w:type="character" w:styleId="WWCharLFO6LVL7" w:customStyle="1">
    <w:name w:val="WW_CharLFO6LVL7"/>
    <w:qFormat/>
    <w:rPr>
      <w:rFonts w:ascii="OpenSymbol;Arial Unicode MS" w:hAnsi="OpenSymbol;Arial Unicode MS" w:eastAsia="OpenSymbol;Arial Unicode MS" w:cs="OpenSymbol;Arial Unicode MS"/>
    </w:rPr>
  </w:style>
  <w:style w:type="character" w:styleId="WWCharLFO6LVL8" w:customStyle="1">
    <w:name w:val="WW_CharLFO6LVL8"/>
    <w:qFormat/>
    <w:rPr>
      <w:rFonts w:ascii="OpenSymbol;Arial Unicode MS" w:hAnsi="OpenSymbol;Arial Unicode MS" w:eastAsia="OpenSymbol;Arial Unicode MS" w:cs="OpenSymbol;Arial Unicode MS"/>
    </w:rPr>
  </w:style>
  <w:style w:type="character" w:styleId="WWCharLFO6LVL9" w:customStyle="1">
    <w:name w:val="WW_CharLFO6LVL9"/>
    <w:qFormat/>
    <w:rPr>
      <w:rFonts w:ascii="OpenSymbol;Arial Unicode MS" w:hAnsi="OpenSymbol;Arial Unicode MS" w:eastAsia="OpenSymbol;Arial Unicode MS" w:cs="OpenSymbol;Arial Unicode MS"/>
    </w:rPr>
  </w:style>
  <w:style w:type="character" w:styleId="WWCharLFO7LVL1" w:customStyle="1">
    <w:name w:val="WW_CharLFO7LVL1"/>
    <w:qFormat/>
    <w:rPr>
      <w:rFonts w:ascii="OpenSymbol;Arial Unicode MS" w:hAnsi="OpenSymbol;Arial Unicode MS" w:eastAsia="OpenSymbol;Arial Unicode MS" w:cs="OpenSymbol;Arial Unicode MS"/>
    </w:rPr>
  </w:style>
  <w:style w:type="character" w:styleId="WWCharLFO7LVL2" w:customStyle="1">
    <w:name w:val="WW_CharLFO7LVL2"/>
    <w:qFormat/>
    <w:rPr>
      <w:rFonts w:ascii="OpenSymbol;Arial Unicode MS" w:hAnsi="OpenSymbol;Arial Unicode MS" w:eastAsia="OpenSymbol;Arial Unicode MS" w:cs="OpenSymbol;Arial Unicode MS"/>
    </w:rPr>
  </w:style>
  <w:style w:type="character" w:styleId="WWCharLFO7LVL3" w:customStyle="1">
    <w:name w:val="WW_CharLFO7LVL3"/>
    <w:qFormat/>
    <w:rPr>
      <w:rFonts w:ascii="OpenSymbol;Arial Unicode MS" w:hAnsi="OpenSymbol;Arial Unicode MS" w:eastAsia="OpenSymbol;Arial Unicode MS" w:cs="OpenSymbol;Arial Unicode MS"/>
    </w:rPr>
  </w:style>
  <w:style w:type="character" w:styleId="WWCharLFO7LVL4" w:customStyle="1">
    <w:name w:val="WW_CharLFO7LVL4"/>
    <w:qFormat/>
    <w:rPr>
      <w:rFonts w:ascii="OpenSymbol;Arial Unicode MS" w:hAnsi="OpenSymbol;Arial Unicode MS" w:eastAsia="OpenSymbol;Arial Unicode MS" w:cs="OpenSymbol;Arial Unicode MS"/>
    </w:rPr>
  </w:style>
  <w:style w:type="character" w:styleId="WWCharLFO7LVL5" w:customStyle="1">
    <w:name w:val="WW_CharLFO7LVL5"/>
    <w:qFormat/>
    <w:rPr>
      <w:rFonts w:ascii="OpenSymbol;Arial Unicode MS" w:hAnsi="OpenSymbol;Arial Unicode MS" w:eastAsia="OpenSymbol;Arial Unicode MS" w:cs="OpenSymbol;Arial Unicode MS"/>
    </w:rPr>
  </w:style>
  <w:style w:type="character" w:styleId="WWCharLFO7LVL6" w:customStyle="1">
    <w:name w:val="WW_CharLFO7LVL6"/>
    <w:qFormat/>
    <w:rPr>
      <w:rFonts w:ascii="OpenSymbol;Arial Unicode MS" w:hAnsi="OpenSymbol;Arial Unicode MS" w:eastAsia="OpenSymbol;Arial Unicode MS" w:cs="OpenSymbol;Arial Unicode MS"/>
    </w:rPr>
  </w:style>
  <w:style w:type="character" w:styleId="WWCharLFO7LVL7" w:customStyle="1">
    <w:name w:val="WW_CharLFO7LVL7"/>
    <w:qFormat/>
    <w:rPr>
      <w:rFonts w:ascii="OpenSymbol;Arial Unicode MS" w:hAnsi="OpenSymbol;Arial Unicode MS" w:eastAsia="OpenSymbol;Arial Unicode MS" w:cs="OpenSymbol;Arial Unicode MS"/>
    </w:rPr>
  </w:style>
  <w:style w:type="character" w:styleId="WWCharLFO7LVL8" w:customStyle="1">
    <w:name w:val="WW_CharLFO7LVL8"/>
    <w:qFormat/>
    <w:rPr>
      <w:rFonts w:ascii="OpenSymbol;Arial Unicode MS" w:hAnsi="OpenSymbol;Arial Unicode MS" w:eastAsia="OpenSymbol;Arial Unicode MS" w:cs="OpenSymbol;Arial Unicode MS"/>
    </w:rPr>
  </w:style>
  <w:style w:type="character" w:styleId="WWCharLFO7LVL9" w:customStyle="1">
    <w:name w:val="WW_CharLFO7LVL9"/>
    <w:qFormat/>
    <w:rPr>
      <w:rFonts w:ascii="OpenSymbol;Arial Unicode MS" w:hAnsi="OpenSymbol;Arial Unicode MS" w:eastAsia="OpenSymbol;Arial Unicode MS" w:cs="OpenSymbol;Arial Unicode MS"/>
    </w:rPr>
  </w:style>
  <w:style w:type="character" w:styleId="WWCharLFO8LVL1" w:customStyle="1">
    <w:name w:val="WW_CharLFO8LVL1"/>
    <w:qFormat/>
    <w:rPr>
      <w:rFonts w:ascii="OpenSymbol;Arial Unicode MS" w:hAnsi="OpenSymbol;Arial Unicode MS" w:eastAsia="OpenSymbol;Arial Unicode MS" w:cs="OpenSymbol;Arial Unicode MS"/>
    </w:rPr>
  </w:style>
  <w:style w:type="character" w:styleId="WWCharLFO8LVL2" w:customStyle="1">
    <w:name w:val="WW_CharLFO8LVL2"/>
    <w:qFormat/>
    <w:rPr>
      <w:rFonts w:ascii="OpenSymbol;Arial Unicode MS" w:hAnsi="OpenSymbol;Arial Unicode MS" w:eastAsia="OpenSymbol;Arial Unicode MS" w:cs="OpenSymbol;Arial Unicode MS"/>
    </w:rPr>
  </w:style>
  <w:style w:type="character" w:styleId="WWCharLFO8LVL3" w:customStyle="1">
    <w:name w:val="WW_CharLFO8LVL3"/>
    <w:qFormat/>
    <w:rPr>
      <w:rFonts w:ascii="OpenSymbol;Arial Unicode MS" w:hAnsi="OpenSymbol;Arial Unicode MS" w:eastAsia="OpenSymbol;Arial Unicode MS" w:cs="OpenSymbol;Arial Unicode MS"/>
    </w:rPr>
  </w:style>
  <w:style w:type="character" w:styleId="WWCharLFO8LVL4" w:customStyle="1">
    <w:name w:val="WW_CharLFO8LVL4"/>
    <w:qFormat/>
    <w:rPr>
      <w:rFonts w:ascii="OpenSymbol;Arial Unicode MS" w:hAnsi="OpenSymbol;Arial Unicode MS" w:eastAsia="OpenSymbol;Arial Unicode MS" w:cs="OpenSymbol;Arial Unicode MS"/>
    </w:rPr>
  </w:style>
  <w:style w:type="character" w:styleId="WWCharLFO8LVL5" w:customStyle="1">
    <w:name w:val="WW_CharLFO8LVL5"/>
    <w:qFormat/>
    <w:rPr>
      <w:rFonts w:ascii="OpenSymbol;Arial Unicode MS" w:hAnsi="OpenSymbol;Arial Unicode MS" w:eastAsia="OpenSymbol;Arial Unicode MS" w:cs="OpenSymbol;Arial Unicode MS"/>
    </w:rPr>
  </w:style>
  <w:style w:type="character" w:styleId="WWCharLFO8LVL6" w:customStyle="1">
    <w:name w:val="WW_CharLFO8LVL6"/>
    <w:qFormat/>
    <w:rPr>
      <w:rFonts w:ascii="OpenSymbol;Arial Unicode MS" w:hAnsi="OpenSymbol;Arial Unicode MS" w:eastAsia="OpenSymbol;Arial Unicode MS" w:cs="OpenSymbol;Arial Unicode MS"/>
    </w:rPr>
  </w:style>
  <w:style w:type="character" w:styleId="WWCharLFO8LVL7" w:customStyle="1">
    <w:name w:val="WW_CharLFO8LVL7"/>
    <w:qFormat/>
    <w:rPr>
      <w:rFonts w:ascii="OpenSymbol;Arial Unicode MS" w:hAnsi="OpenSymbol;Arial Unicode MS" w:eastAsia="OpenSymbol;Arial Unicode MS" w:cs="OpenSymbol;Arial Unicode MS"/>
    </w:rPr>
  </w:style>
  <w:style w:type="character" w:styleId="WWCharLFO8LVL8" w:customStyle="1">
    <w:name w:val="WW_CharLFO8LVL8"/>
    <w:qFormat/>
    <w:rPr>
      <w:rFonts w:ascii="OpenSymbol;Arial Unicode MS" w:hAnsi="OpenSymbol;Arial Unicode MS" w:eastAsia="OpenSymbol;Arial Unicode MS" w:cs="OpenSymbol;Arial Unicode MS"/>
    </w:rPr>
  </w:style>
  <w:style w:type="character" w:styleId="WWCharLFO8LVL9" w:customStyle="1">
    <w:name w:val="WW_CharLFO8LVL9"/>
    <w:qFormat/>
    <w:rPr>
      <w:rFonts w:ascii="OpenSymbol;Arial Unicode MS" w:hAnsi="OpenSymbol;Arial Unicode MS" w:eastAsia="OpenSymbol;Arial Unicode MS" w:cs="OpenSymbol;Arial Unicode MS"/>
    </w:rPr>
  </w:style>
  <w:style w:type="character" w:styleId="WWCharLFO9LVL1" w:customStyle="1">
    <w:name w:val="WW_CharLFO9LVL1"/>
    <w:qFormat/>
    <w:rPr>
      <w:rFonts w:ascii="OpenSymbol;Arial Unicode MS" w:hAnsi="OpenSymbol;Arial Unicode MS" w:eastAsia="OpenSymbol;Arial Unicode MS" w:cs="OpenSymbol;Arial Unicode MS"/>
    </w:rPr>
  </w:style>
  <w:style w:type="character" w:styleId="WWCharLFO9LVL2" w:customStyle="1">
    <w:name w:val="WW_CharLFO9LVL2"/>
    <w:qFormat/>
    <w:rPr>
      <w:rFonts w:ascii="OpenSymbol;Arial Unicode MS" w:hAnsi="OpenSymbol;Arial Unicode MS" w:eastAsia="OpenSymbol;Arial Unicode MS" w:cs="OpenSymbol;Arial Unicode MS"/>
    </w:rPr>
  </w:style>
  <w:style w:type="character" w:styleId="WWCharLFO9LVL3" w:customStyle="1">
    <w:name w:val="WW_CharLFO9LVL3"/>
    <w:qFormat/>
    <w:rPr>
      <w:rFonts w:ascii="OpenSymbol;Arial Unicode MS" w:hAnsi="OpenSymbol;Arial Unicode MS" w:eastAsia="OpenSymbol;Arial Unicode MS" w:cs="OpenSymbol;Arial Unicode MS"/>
    </w:rPr>
  </w:style>
  <w:style w:type="character" w:styleId="WWCharLFO9LVL4" w:customStyle="1">
    <w:name w:val="WW_CharLFO9LVL4"/>
    <w:qFormat/>
    <w:rPr>
      <w:rFonts w:ascii="OpenSymbol;Arial Unicode MS" w:hAnsi="OpenSymbol;Arial Unicode MS" w:eastAsia="OpenSymbol;Arial Unicode MS" w:cs="OpenSymbol;Arial Unicode MS"/>
    </w:rPr>
  </w:style>
  <w:style w:type="character" w:styleId="WWCharLFO9LVL5" w:customStyle="1">
    <w:name w:val="WW_CharLFO9LVL5"/>
    <w:qFormat/>
    <w:rPr>
      <w:rFonts w:ascii="OpenSymbol;Arial Unicode MS" w:hAnsi="OpenSymbol;Arial Unicode MS" w:eastAsia="OpenSymbol;Arial Unicode MS" w:cs="OpenSymbol;Arial Unicode MS"/>
    </w:rPr>
  </w:style>
  <w:style w:type="character" w:styleId="WWCharLFO9LVL6" w:customStyle="1">
    <w:name w:val="WW_CharLFO9LVL6"/>
    <w:qFormat/>
    <w:rPr>
      <w:rFonts w:ascii="OpenSymbol;Arial Unicode MS" w:hAnsi="OpenSymbol;Arial Unicode MS" w:eastAsia="OpenSymbol;Arial Unicode MS" w:cs="OpenSymbol;Arial Unicode MS"/>
    </w:rPr>
  </w:style>
  <w:style w:type="character" w:styleId="WWCharLFO9LVL7" w:customStyle="1">
    <w:name w:val="WW_CharLFO9LVL7"/>
    <w:qFormat/>
    <w:rPr>
      <w:rFonts w:ascii="OpenSymbol;Arial Unicode MS" w:hAnsi="OpenSymbol;Arial Unicode MS" w:eastAsia="OpenSymbol;Arial Unicode MS" w:cs="OpenSymbol;Arial Unicode MS"/>
    </w:rPr>
  </w:style>
  <w:style w:type="character" w:styleId="WWCharLFO9LVL8" w:customStyle="1">
    <w:name w:val="WW_CharLFO9LVL8"/>
    <w:qFormat/>
    <w:rPr>
      <w:rFonts w:ascii="OpenSymbol;Arial Unicode MS" w:hAnsi="OpenSymbol;Arial Unicode MS" w:eastAsia="OpenSymbol;Arial Unicode MS" w:cs="OpenSymbol;Arial Unicode MS"/>
    </w:rPr>
  </w:style>
  <w:style w:type="character" w:styleId="WWCharLFO9LVL9" w:customStyle="1">
    <w:name w:val="WW_CharLFO9LVL9"/>
    <w:qFormat/>
    <w:rPr>
      <w:rFonts w:ascii="OpenSymbol;Arial Unicode MS" w:hAnsi="OpenSymbol;Arial Unicode MS" w:eastAsia="OpenSymbol;Arial Unicode MS" w:cs="OpenSymbol;Arial Unicode MS"/>
    </w:rPr>
  </w:style>
  <w:style w:type="character" w:styleId="WWCharLFO10LVL1" w:customStyle="1">
    <w:name w:val="WW_CharLFO10LVL1"/>
    <w:qFormat/>
    <w:rPr>
      <w:rFonts w:ascii="OpenSymbol;Arial Unicode MS" w:hAnsi="OpenSymbol;Arial Unicode MS" w:eastAsia="OpenSymbol;Arial Unicode MS" w:cs="OpenSymbol;Arial Unicode MS"/>
    </w:rPr>
  </w:style>
  <w:style w:type="character" w:styleId="WWCharLFO10LVL2" w:customStyle="1">
    <w:name w:val="WW_CharLFO10LVL2"/>
    <w:qFormat/>
    <w:rPr>
      <w:rFonts w:ascii="OpenSymbol;Arial Unicode MS" w:hAnsi="OpenSymbol;Arial Unicode MS" w:eastAsia="OpenSymbol;Arial Unicode MS" w:cs="OpenSymbol;Arial Unicode MS"/>
    </w:rPr>
  </w:style>
  <w:style w:type="character" w:styleId="WWCharLFO10LVL3" w:customStyle="1">
    <w:name w:val="WW_CharLFO10LVL3"/>
    <w:qFormat/>
    <w:rPr>
      <w:rFonts w:ascii="OpenSymbol;Arial Unicode MS" w:hAnsi="OpenSymbol;Arial Unicode MS" w:eastAsia="OpenSymbol;Arial Unicode MS" w:cs="OpenSymbol;Arial Unicode MS"/>
    </w:rPr>
  </w:style>
  <w:style w:type="character" w:styleId="WWCharLFO10LVL4" w:customStyle="1">
    <w:name w:val="WW_CharLFO10LVL4"/>
    <w:qFormat/>
    <w:rPr>
      <w:rFonts w:ascii="OpenSymbol;Arial Unicode MS" w:hAnsi="OpenSymbol;Arial Unicode MS" w:eastAsia="OpenSymbol;Arial Unicode MS" w:cs="OpenSymbol;Arial Unicode MS"/>
    </w:rPr>
  </w:style>
  <w:style w:type="character" w:styleId="WWCharLFO10LVL5" w:customStyle="1">
    <w:name w:val="WW_CharLFO10LVL5"/>
    <w:qFormat/>
    <w:rPr>
      <w:rFonts w:ascii="OpenSymbol;Arial Unicode MS" w:hAnsi="OpenSymbol;Arial Unicode MS" w:eastAsia="OpenSymbol;Arial Unicode MS" w:cs="OpenSymbol;Arial Unicode MS"/>
    </w:rPr>
  </w:style>
  <w:style w:type="character" w:styleId="WWCharLFO10LVL6" w:customStyle="1">
    <w:name w:val="WW_CharLFO10LVL6"/>
    <w:qFormat/>
    <w:rPr>
      <w:rFonts w:ascii="OpenSymbol;Arial Unicode MS" w:hAnsi="OpenSymbol;Arial Unicode MS" w:eastAsia="OpenSymbol;Arial Unicode MS" w:cs="OpenSymbol;Arial Unicode MS"/>
    </w:rPr>
  </w:style>
  <w:style w:type="character" w:styleId="WWCharLFO10LVL7" w:customStyle="1">
    <w:name w:val="WW_CharLFO10LVL7"/>
    <w:qFormat/>
    <w:rPr>
      <w:rFonts w:ascii="OpenSymbol;Arial Unicode MS" w:hAnsi="OpenSymbol;Arial Unicode MS" w:eastAsia="OpenSymbol;Arial Unicode MS" w:cs="OpenSymbol;Arial Unicode MS"/>
    </w:rPr>
  </w:style>
  <w:style w:type="character" w:styleId="WWCharLFO10LVL8" w:customStyle="1">
    <w:name w:val="WW_CharLFO10LVL8"/>
    <w:qFormat/>
    <w:rPr>
      <w:rFonts w:ascii="OpenSymbol;Arial Unicode MS" w:hAnsi="OpenSymbol;Arial Unicode MS" w:eastAsia="OpenSymbol;Arial Unicode MS" w:cs="OpenSymbol;Arial Unicode MS"/>
    </w:rPr>
  </w:style>
  <w:style w:type="character" w:styleId="WWCharLFO10LVL9" w:customStyle="1">
    <w:name w:val="WW_CharLFO10LVL9"/>
    <w:qFormat/>
    <w:rPr>
      <w:rFonts w:ascii="OpenSymbol;Arial Unicode MS" w:hAnsi="OpenSymbol;Arial Unicode MS" w:eastAsia="OpenSymbol;Arial Unicode MS" w:cs="OpenSymbol;Arial Unicode MS"/>
    </w:rPr>
  </w:style>
  <w:style w:type="character" w:styleId="WWCharLFO11LVL1" w:customStyle="1">
    <w:name w:val="WW_CharLFO11LVL1"/>
    <w:qFormat/>
    <w:rPr>
      <w:rFonts w:ascii="OpenSymbol;Arial Unicode MS" w:hAnsi="OpenSymbol;Arial Unicode MS" w:eastAsia="OpenSymbol;Arial Unicode MS" w:cs="OpenSymbol;Arial Unicode MS"/>
    </w:rPr>
  </w:style>
  <w:style w:type="character" w:styleId="WWCharLFO11LVL2" w:customStyle="1">
    <w:name w:val="WW_CharLFO11LVL2"/>
    <w:qFormat/>
    <w:rPr>
      <w:rFonts w:ascii="OpenSymbol;Arial Unicode MS" w:hAnsi="OpenSymbol;Arial Unicode MS" w:eastAsia="OpenSymbol;Arial Unicode MS" w:cs="OpenSymbol;Arial Unicode MS"/>
    </w:rPr>
  </w:style>
  <w:style w:type="character" w:styleId="WWCharLFO11LVL3" w:customStyle="1">
    <w:name w:val="WW_CharLFO11LVL3"/>
    <w:qFormat/>
    <w:rPr>
      <w:rFonts w:ascii="OpenSymbol;Arial Unicode MS" w:hAnsi="OpenSymbol;Arial Unicode MS" w:eastAsia="OpenSymbol;Arial Unicode MS" w:cs="OpenSymbol;Arial Unicode MS"/>
    </w:rPr>
  </w:style>
  <w:style w:type="character" w:styleId="WWCharLFO11LVL4" w:customStyle="1">
    <w:name w:val="WW_CharLFO11LVL4"/>
    <w:qFormat/>
    <w:rPr>
      <w:rFonts w:ascii="OpenSymbol;Arial Unicode MS" w:hAnsi="OpenSymbol;Arial Unicode MS" w:eastAsia="OpenSymbol;Arial Unicode MS" w:cs="OpenSymbol;Arial Unicode MS"/>
    </w:rPr>
  </w:style>
  <w:style w:type="character" w:styleId="WWCharLFO11LVL5" w:customStyle="1">
    <w:name w:val="WW_CharLFO11LVL5"/>
    <w:qFormat/>
    <w:rPr>
      <w:rFonts w:ascii="OpenSymbol;Arial Unicode MS" w:hAnsi="OpenSymbol;Arial Unicode MS" w:eastAsia="OpenSymbol;Arial Unicode MS" w:cs="OpenSymbol;Arial Unicode MS"/>
    </w:rPr>
  </w:style>
  <w:style w:type="character" w:styleId="WWCharLFO11LVL6" w:customStyle="1">
    <w:name w:val="WW_CharLFO11LVL6"/>
    <w:qFormat/>
    <w:rPr>
      <w:rFonts w:ascii="OpenSymbol;Arial Unicode MS" w:hAnsi="OpenSymbol;Arial Unicode MS" w:eastAsia="OpenSymbol;Arial Unicode MS" w:cs="OpenSymbol;Arial Unicode MS"/>
    </w:rPr>
  </w:style>
  <w:style w:type="character" w:styleId="WWCharLFO11LVL7" w:customStyle="1">
    <w:name w:val="WW_CharLFO11LVL7"/>
    <w:qFormat/>
    <w:rPr>
      <w:rFonts w:ascii="OpenSymbol;Arial Unicode MS" w:hAnsi="OpenSymbol;Arial Unicode MS" w:eastAsia="OpenSymbol;Arial Unicode MS" w:cs="OpenSymbol;Arial Unicode MS"/>
    </w:rPr>
  </w:style>
  <w:style w:type="character" w:styleId="WWCharLFO11LVL8" w:customStyle="1">
    <w:name w:val="WW_CharLFO11LVL8"/>
    <w:qFormat/>
    <w:rPr>
      <w:rFonts w:ascii="OpenSymbol;Arial Unicode MS" w:hAnsi="OpenSymbol;Arial Unicode MS" w:eastAsia="OpenSymbol;Arial Unicode MS" w:cs="OpenSymbol;Arial Unicode MS"/>
    </w:rPr>
  </w:style>
  <w:style w:type="character" w:styleId="WWCharLFO11LVL9" w:customStyle="1">
    <w:name w:val="WW_CharLFO11LVL9"/>
    <w:qFormat/>
    <w:rPr>
      <w:rFonts w:ascii="OpenSymbol;Arial Unicode MS" w:hAnsi="OpenSymbol;Arial Unicode MS" w:eastAsia="OpenSymbol;Arial Unicode MS" w:cs="OpenSymbol;Arial Unicode MS"/>
    </w:rPr>
  </w:style>
  <w:style w:type="character" w:styleId="WWCharLFO12LVL1" w:customStyle="1">
    <w:name w:val="WW_CharLFO12LVL1"/>
    <w:qFormat/>
    <w:rPr>
      <w:rFonts w:ascii="OpenSymbol;Arial Unicode MS" w:hAnsi="OpenSymbol;Arial Unicode MS" w:eastAsia="OpenSymbol;Arial Unicode MS" w:cs="OpenSymbol;Arial Unicode MS"/>
    </w:rPr>
  </w:style>
  <w:style w:type="character" w:styleId="WWCharLFO12LVL2" w:customStyle="1">
    <w:name w:val="WW_CharLFO12LVL2"/>
    <w:qFormat/>
    <w:rPr>
      <w:rFonts w:ascii="OpenSymbol;Arial Unicode MS" w:hAnsi="OpenSymbol;Arial Unicode MS" w:eastAsia="OpenSymbol;Arial Unicode MS" w:cs="OpenSymbol;Arial Unicode MS"/>
    </w:rPr>
  </w:style>
  <w:style w:type="character" w:styleId="WWCharLFO12LVL3" w:customStyle="1">
    <w:name w:val="WW_CharLFO12LVL3"/>
    <w:qFormat/>
    <w:rPr>
      <w:rFonts w:ascii="OpenSymbol;Arial Unicode MS" w:hAnsi="OpenSymbol;Arial Unicode MS" w:eastAsia="OpenSymbol;Arial Unicode MS" w:cs="OpenSymbol;Arial Unicode MS"/>
    </w:rPr>
  </w:style>
  <w:style w:type="character" w:styleId="WWCharLFO12LVL4" w:customStyle="1">
    <w:name w:val="WW_CharLFO12LVL4"/>
    <w:qFormat/>
    <w:rPr>
      <w:rFonts w:ascii="OpenSymbol;Arial Unicode MS" w:hAnsi="OpenSymbol;Arial Unicode MS" w:eastAsia="OpenSymbol;Arial Unicode MS" w:cs="OpenSymbol;Arial Unicode MS"/>
    </w:rPr>
  </w:style>
  <w:style w:type="character" w:styleId="WWCharLFO12LVL5" w:customStyle="1">
    <w:name w:val="WW_CharLFO12LVL5"/>
    <w:qFormat/>
    <w:rPr>
      <w:rFonts w:ascii="OpenSymbol;Arial Unicode MS" w:hAnsi="OpenSymbol;Arial Unicode MS" w:eastAsia="OpenSymbol;Arial Unicode MS" w:cs="OpenSymbol;Arial Unicode MS"/>
    </w:rPr>
  </w:style>
  <w:style w:type="character" w:styleId="WWCharLFO12LVL6" w:customStyle="1">
    <w:name w:val="WW_CharLFO12LVL6"/>
    <w:qFormat/>
    <w:rPr>
      <w:rFonts w:ascii="OpenSymbol;Arial Unicode MS" w:hAnsi="OpenSymbol;Arial Unicode MS" w:eastAsia="OpenSymbol;Arial Unicode MS" w:cs="OpenSymbol;Arial Unicode MS"/>
    </w:rPr>
  </w:style>
  <w:style w:type="character" w:styleId="WWCharLFO12LVL7" w:customStyle="1">
    <w:name w:val="WW_CharLFO12LVL7"/>
    <w:qFormat/>
    <w:rPr>
      <w:rFonts w:ascii="OpenSymbol;Arial Unicode MS" w:hAnsi="OpenSymbol;Arial Unicode MS" w:eastAsia="OpenSymbol;Arial Unicode MS" w:cs="OpenSymbol;Arial Unicode MS"/>
    </w:rPr>
  </w:style>
  <w:style w:type="character" w:styleId="WWCharLFO12LVL8" w:customStyle="1">
    <w:name w:val="WW_CharLFO12LVL8"/>
    <w:qFormat/>
    <w:rPr>
      <w:rFonts w:ascii="OpenSymbol;Arial Unicode MS" w:hAnsi="OpenSymbol;Arial Unicode MS" w:eastAsia="OpenSymbol;Arial Unicode MS" w:cs="OpenSymbol;Arial Unicode MS"/>
    </w:rPr>
  </w:style>
  <w:style w:type="character" w:styleId="WWCharLFO12LVL9" w:customStyle="1">
    <w:name w:val="WW_CharLFO12LVL9"/>
    <w:qFormat/>
    <w:rPr>
      <w:rFonts w:ascii="OpenSymbol;Arial Unicode MS" w:hAnsi="OpenSymbol;Arial Unicode MS" w:eastAsia="OpenSymbol;Arial Unicode MS" w:cs="OpenSymbol;Arial Unicode MS"/>
    </w:rPr>
  </w:style>
  <w:style w:type="character" w:styleId="Enkleliai" w:customStyle="1">
    <w:name w:val="Ženkleliai"/>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before="0" w:after="120"/>
    </w:pPr>
    <w:rPr/>
  </w:style>
  <w:style w:type="paragraph" w:styleId="List">
    <w:name w:val="List"/>
    <w:basedOn w:val="TextBody"/>
    <w:pPr/>
    <w:rPr>
      <w:rFonts w:cs="Tahoma"/>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ntrat1" w:customStyle="1">
    <w:name w:val="Antraštė1"/>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Caption1">
    <w:name w:val="caption"/>
    <w:basedOn w:val="Normal"/>
    <w:next w:val="TextBody"/>
    <w:qFormat/>
    <w:pPr>
      <w:suppressLineNumbers/>
      <w:spacing w:before="120" w:after="120"/>
    </w:pPr>
    <w:rPr>
      <w:rFonts w:cs="Arial"/>
      <w:i/>
      <w:iCs/>
    </w:rPr>
  </w:style>
  <w:style w:type="paragraph" w:styleId="Rodykl" w:customStyle="1">
    <w:name w:val="Rodyklė"/>
    <w:basedOn w:val="Normal"/>
    <w:qFormat/>
    <w:pPr>
      <w:suppressLineNumbers/>
    </w:pPr>
    <w:rPr>
      <w:rFonts w:cs="Lucida Sans"/>
    </w:rPr>
  </w:style>
  <w:style w:type="paragraph" w:styleId="Subtitle">
    <w:name w:val="Subtitle"/>
    <w:basedOn w:val="Caption1"/>
    <w:next w:val="TextBody"/>
    <w:uiPriority w:val="11"/>
    <w:qFormat/>
    <w:pPr>
      <w:jc w:val="center"/>
    </w:pPr>
    <w:rPr/>
  </w:style>
  <w:style w:type="paragraph" w:styleId="BalloonText">
    <w:name w:val="Balloon Text"/>
    <w:basedOn w:val="Normal"/>
    <w:qFormat/>
    <w:pPr/>
    <w:rPr>
      <w:rFonts w:ascii="Tahoma" w:hAnsi="Tahoma" w:eastAsia="Tahoma" w:cs="Tahoma"/>
      <w:sz w:val="16"/>
      <w:szCs w:val="16"/>
    </w:rPr>
  </w:style>
  <w:style w:type="paragraph" w:styleId="Puslapinantratirporat" w:customStyle="1">
    <w:name w:val="Puslapinė antraštė ir poraštė"/>
    <w:basedOn w:val="Normal"/>
    <w:qFormat/>
    <w:pPr>
      <w:suppressLineNumbers/>
      <w:tabs>
        <w:tab w:val="clear" w:pos="1296"/>
        <w:tab w:val="center" w:pos="4819" w:leader="none"/>
        <w:tab w:val="right" w:pos="9638" w:leader="none"/>
      </w:tabs>
    </w:pPr>
    <w:rPr/>
  </w:style>
  <w:style w:type="paragraph" w:styleId="HeaderandFooter">
    <w:name w:val="Header and Footer"/>
    <w:basedOn w:val="Normal"/>
    <w:qFormat/>
    <w:pPr/>
    <w:rPr/>
  </w:style>
  <w:style w:type="paragraph" w:styleId="Header">
    <w:name w:val="Header"/>
    <w:basedOn w:val="Normal"/>
    <w:qFormat/>
    <w:pPr>
      <w:suppressLineNumbers/>
      <w:tabs>
        <w:tab w:val="clear" w:pos="1296"/>
        <w:tab w:val="center" w:pos="4819" w:leader="none"/>
        <w:tab w:val="right" w:pos="9638" w:leader="none"/>
      </w:tabs>
    </w:pPr>
    <w:rPr/>
  </w:style>
  <w:style w:type="paragraph" w:styleId="Footer">
    <w:name w:val="Footer"/>
    <w:basedOn w:val="Normal"/>
    <w:pPr>
      <w:suppressLineNumbers/>
      <w:tabs>
        <w:tab w:val="clear" w:pos="1296"/>
        <w:tab w:val="center" w:pos="4819" w:leader="none"/>
        <w:tab w:val="right" w:pos="9638" w:leader="none"/>
      </w:tabs>
    </w:pPr>
    <w:rPr/>
  </w:style>
  <w:style w:type="paragraph" w:styleId="Lentelsturinys" w:customStyle="1">
    <w:name w:val="Lentelės turinys"/>
    <w:basedOn w:val="Normal"/>
    <w:qFormat/>
    <w:pPr>
      <w:suppressLineNumbers/>
    </w:pPr>
    <w:rPr/>
  </w:style>
  <w:style w:type="paragraph" w:styleId="Lentelsantrat" w:customStyle="1">
    <w:name w:val="Lentelės antraštė"/>
    <w:basedOn w:val="Lentelsturinys"/>
    <w:qFormat/>
    <w:pPr>
      <w:jc w:val="center"/>
    </w:pPr>
    <w:rPr>
      <w:b/>
      <w:bCs/>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table" w:default="1" w:styleId="prastojilente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Application>LibreOffice/7.0.0.3$Windows_X86_64 LibreOffice_project/8061b3e9204bef6b321a21033174034a5e2ea88e</Application>
  <Pages>7</Pages>
  <Words>1271</Words>
  <Characters>7567</Characters>
  <CharactersWithSpaces>8592</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2026-04-24T06:29:00Z</dcterms:created>
  <dc:creator>Zita</dc:creator>
  <dc:description/>
  <dc:language>lt-LT</dc:language>
  <cp:lastModifiedBy>Laima Sidorenkienė</cp:lastModifiedBy>
  <cp:lastPrinted>2023-02-21T14:00:00Z</cp:lastPrinted>
  <dcterms:modified xsi:type="dcterms:W3CDTF">2026-04-24T06:29:00Z</dcterms:modified>
  <cp:revision>2</cp:revision>
  <dc:subject/>
  <dc:title>UŽDAROSIOS AKCINĖS BENDROVĖS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y fmtid="{D5CDD505-2E9C-101B-9397-08002B2CF9AE}" pid="8" name="__Grammarly_42___1">
    <vt:lpwstr>__Grammarly_42___1</vt:lpwstr>
  </property>
  <property fmtid="{D5CDD505-2E9C-101B-9397-08002B2CF9AE}" pid="9" name="__Grammarly_42____i">
    <vt:lpwstr>__Grammarly_42____i</vt:lpwstr>
  </property>
</Properties>
</file>