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4320" w:firstLine="864"/>
        <w:rPr>
          <w:rFonts w:ascii="Times New Roman" w:hAnsi="Times New Roman" w:eastAsia="Times New Roman" w:cs="Times New Roman"/>
          <w:sz w:val="24"/>
          <w:szCs w:val="24"/>
        </w:rPr>
      </w:pPr>
      <w:bookmarkStart w:id="0" w:name="_Hlk162614931"/>
      <w:bookmarkEnd w:id="0"/>
      <w:r>
        <w:rPr>
          <w:rFonts w:eastAsia="Times New Roman" w:cs="Times New Roman" w:ascii="Times New Roman" w:hAnsi="Times New Roman"/>
          <w:sz w:val="24"/>
          <w:szCs w:val="24"/>
        </w:rPr>
        <w:t>PATVIRTINTA</w:t>
      </w:r>
    </w:p>
    <w:p>
      <w:pPr>
        <w:pStyle w:val="Normal"/>
        <w:spacing w:lineRule="auto" w:line="240" w:before="0" w:after="0"/>
        <w:ind w:left="4320" w:firstLine="864"/>
        <w:rPr>
          <w:rFonts w:ascii="Times New Roman" w:hAnsi="Times New Roman" w:eastAsia="Times New Roman" w:cs="Times New Roman"/>
          <w:sz w:val="24"/>
          <w:szCs w:val="24"/>
        </w:rPr>
      </w:pPr>
      <w:r>
        <w:rPr>
          <w:rFonts w:eastAsia="Times New Roman" w:cs="Times New Roman" w:ascii="Times New Roman" w:hAnsi="Times New Roman"/>
          <w:sz w:val="24"/>
          <w:szCs w:val="24"/>
        </w:rPr>
        <w:t>Ignalinos rajono savivaldybės tarybos</w:t>
      </w:r>
    </w:p>
    <w:p>
      <w:pPr>
        <w:pStyle w:val="Normal"/>
        <w:spacing w:lineRule="auto" w:line="240" w:before="0" w:after="0"/>
        <w:ind w:left="4320" w:firstLine="864"/>
        <w:rPr>
          <w:rFonts w:ascii="Times New Roman" w:hAnsi="Times New Roman" w:eastAsia="Times New Roman" w:cs="Times New Roman"/>
          <w:sz w:val="24"/>
          <w:szCs w:val="24"/>
        </w:rPr>
      </w:pPr>
      <w:r>
        <w:rPr>
          <w:rFonts w:eastAsia="Times New Roman" w:cs="Times New Roman" w:ascii="Times New Roman" w:hAnsi="Times New Roman"/>
          <w:sz w:val="24"/>
          <w:szCs w:val="24"/>
        </w:rPr>
        <w:t>2026 m.                 d. sprendimu Nr. T-</w:t>
        <w:tab/>
      </w:r>
    </w:p>
    <w:p>
      <w:pPr>
        <w:pStyle w:val="Normal"/>
        <w:spacing w:lineRule="auto" w:line="240" w:before="0" w:after="0"/>
        <w:ind w:left="4320" w:firstLine="864"/>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jc w:val="center"/>
        <w:rPr>
          <w:rFonts w:ascii="Times New Roman" w:hAnsi="Times New Roman" w:cs="Times New Roman"/>
          <w:b/>
          <w:b/>
          <w:bCs/>
          <w:sz w:val="28"/>
          <w:szCs w:val="28"/>
        </w:rPr>
      </w:pPr>
      <w:r>
        <w:rPr>
          <w:rFonts w:cs="Times New Roman" w:ascii="Times New Roman" w:hAnsi="Times New Roman"/>
          <w:b/>
          <w:bCs/>
          <w:sz w:val="24"/>
          <w:szCs w:val="24"/>
        </w:rPr>
        <w:t>SAVIVALDYBĖS ĮMONĖS „KOMPATA“ 2025 METŲ VEIKLOS ATASKAITA</w:t>
      </w:r>
    </w:p>
    <w:p>
      <w:pPr>
        <w:pStyle w:val="ListParagraph"/>
        <w:spacing w:lineRule="auto" w:line="240" w:before="0" w:after="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ListParagraph"/>
        <w:spacing w:lineRule="auto" w:line="240" w:before="0" w:after="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VADOVO PRANEŠIMAS</w:t>
      </w:r>
    </w:p>
    <w:p>
      <w:pPr>
        <w:pStyle w:val="ListParagraph"/>
        <w:spacing w:lineRule="auto" w:line="240" w:before="0" w:after="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0" w:after="0"/>
        <w:ind w:firstLine="1134"/>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SĮ „Kompata (toliau – Įmonė) yra Ignalinos rajono savivaldybės įsteigtas juridinis asmuo, kuris nuosavybės teise priklauso Ignalinos rajono savivaldybei (toliau – Savivaldybė). Įmonė Savivaldybės perduotą bei jos pačios įgytą turtą valdo, naudoja bei juo disponuoja patikėjimo teise. Įmonės steigėjas ir aukščiausiasis valdymo organas yra Ignalinos rajono savivaldybės taryba. </w:t>
      </w:r>
    </w:p>
    <w:p>
      <w:pPr>
        <w:pStyle w:val="Normal"/>
        <w:spacing w:lineRule="auto" w:line="240" w:before="0" w:after="0"/>
        <w:ind w:firstLine="1134"/>
        <w:jc w:val="both"/>
        <w:rPr>
          <w:rFonts w:ascii="Times New Roman" w:hAnsi="Times New Roman" w:cs="Times New Roman"/>
          <w:sz w:val="24"/>
          <w:szCs w:val="24"/>
        </w:rPr>
      </w:pPr>
      <w:r>
        <w:rPr>
          <w:rFonts w:eastAsia="Times New Roman" w:cs="Times New Roman" w:ascii="Times New Roman" w:hAnsi="Times New Roman"/>
          <w:sz w:val="24"/>
          <w:szCs w:val="24"/>
        </w:rPr>
        <w:t xml:space="preserve">2025 metais išsikėlėme labai aiškius ir konkrečius tikslus, kurie padėjo ir padės ateityje kokybiškai ir greitai atlikti pagrindines funkcijas atliekų ir viešųjų erdvių tvarkymo srityje. Atnaujinome Įmonės 2026–2030 metų strategiją, numatėme naujus tikslus, užduotis ir vertinimą bei užtikrinome tikslų tęstinumą. </w:t>
      </w:r>
      <w:r>
        <w:rPr>
          <w:rFonts w:cs="Times New Roman" w:ascii="Times New Roman" w:hAnsi="Times New Roman"/>
          <w:sz w:val="24"/>
          <w:szCs w:val="24"/>
        </w:rPr>
        <w:t xml:space="preserve">Penkerių metų veiklos strateginis planas yra ilgalaikis Įmonės veiklos planavimo dokumentas, skirtas nustatyti ilgalaikius Įmonės veiklos ir plėtros strateginius tikslus bei parinkti priemones efektyviai veiklai vystyti. </w:t>
      </w:r>
    </w:p>
    <w:p>
      <w:pPr>
        <w:pStyle w:val="Normal"/>
        <w:spacing w:lineRule="auto" w:line="240" w:before="0" w:after="0"/>
        <w:ind w:firstLine="1134"/>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Pateikėme tvirtinti Savivaldybės tarybai perskaičiuotą komunalinių atliekų tvarkymo ir administravimo kainą, paremtą tvirta, įstatymiškai pagrįsta metodika, taip pat atnaujinome atliekų tvarkymo taisykles. </w:t>
      </w:r>
    </w:p>
    <w:p>
      <w:pPr>
        <w:pStyle w:val="Normal"/>
        <w:spacing w:lineRule="auto" w:line="240" w:before="0" w:after="0"/>
        <w:ind w:firstLine="1134"/>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Atnaujinome viešųjų erdvių tvarkymo darbų sąrašą, skaičiavome darbų įkainius.</w:t>
      </w:r>
    </w:p>
    <w:p>
      <w:pPr>
        <w:pStyle w:val="Normal"/>
        <w:spacing w:lineRule="auto" w:line="240" w:before="0" w:after="0"/>
        <w:ind w:firstLine="1134"/>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Įsigijome du vejų pjovimo robotus, kurie šienauja žolę aplink Ignalinos rajono savivaldybės pastatą ir aikštę. Ši investicija pasiteisino.</w:t>
      </w:r>
    </w:p>
    <w:p>
      <w:pPr>
        <w:pStyle w:val="Normal"/>
        <w:spacing w:lineRule="auto" w:line="240" w:before="0" w:after="0"/>
        <w:ind w:firstLine="1134"/>
        <w:jc w:val="both"/>
        <w:rPr>
          <w:rFonts w:ascii="Times New Roman" w:hAnsi="Times New Roman" w:cs="Times New Roman"/>
          <w:sz w:val="24"/>
          <w:szCs w:val="24"/>
        </w:rPr>
      </w:pPr>
      <w:r>
        <w:rPr>
          <w:rFonts w:eastAsia="Times New Roman" w:cs="Times New Roman" w:ascii="Times New Roman" w:hAnsi="Times New Roman"/>
          <w:sz w:val="24"/>
          <w:szCs w:val="24"/>
        </w:rPr>
        <w:t>2025 metais laiku mokėjome įmokas už įsigytą techniką. Nuolat planuojame pinigų srautus, todėl 2026 metais įsigysime</w:t>
      </w:r>
      <w:r>
        <w:rPr>
          <w:rFonts w:cs="Times New Roman" w:ascii="Times New Roman" w:hAnsi="Times New Roman"/>
          <w:sz w:val="24"/>
          <w:szCs w:val="24"/>
        </w:rPr>
        <w:t xml:space="preserve"> 2 vejų robotus ir 1 profesionalų vejų pjovimo traktorių su žolės pjovimo mechanizmu.</w:t>
      </w:r>
    </w:p>
    <w:p>
      <w:pPr>
        <w:pStyle w:val="Normal"/>
        <w:spacing w:lineRule="auto" w:line="240" w:before="0" w:after="0"/>
        <w:ind w:firstLine="1134"/>
        <w:jc w:val="both"/>
        <w:rPr>
          <w:rFonts w:ascii="Times New Roman" w:hAnsi="Times New Roman" w:cs="Times New Roman"/>
          <w:sz w:val="24"/>
          <w:szCs w:val="24"/>
          <w:lang w:val="pt-BR"/>
        </w:rPr>
      </w:pPr>
      <w:r>
        <w:rPr>
          <w:rFonts w:cs="Times New Roman" w:ascii="Times New Roman" w:hAnsi="Times New Roman"/>
          <w:sz w:val="24"/>
          <w:szCs w:val="24"/>
        </w:rPr>
        <w:t xml:space="preserve"> </w:t>
      </w:r>
      <w:r>
        <w:rPr>
          <w:rFonts w:cs="Times New Roman" w:ascii="Times New Roman" w:hAnsi="Times New Roman"/>
          <w:sz w:val="24"/>
          <w:szCs w:val="24"/>
        </w:rPr>
        <w:tab/>
      </w:r>
      <w:r>
        <w:rPr>
          <w:rFonts w:cs="Times New Roman" w:ascii="Times New Roman" w:hAnsi="Times New Roman"/>
          <w:sz w:val="24"/>
          <w:szCs w:val="24"/>
          <w:lang w:val="pt-BR"/>
        </w:rPr>
        <w:t>Dėkoju s</w:t>
      </w:r>
      <w:r>
        <w:rPr>
          <w:rFonts w:cs="Times New Roman" w:ascii="Times New Roman" w:hAnsi="Times New Roman"/>
          <w:sz w:val="24"/>
          <w:szCs w:val="24"/>
        </w:rPr>
        <w:t>avivaldybės įmonės „Kompata“</w:t>
      </w:r>
      <w:r>
        <w:rPr>
          <w:rFonts w:cs="Times New Roman" w:ascii="Times New Roman" w:hAnsi="Times New Roman"/>
          <w:sz w:val="24"/>
          <w:szCs w:val="24"/>
          <w:lang w:val="pt-BR"/>
        </w:rPr>
        <w:t xml:space="preserve"> darbuotojams už aktyvų bendradarbiavimą, pagalbą įgyvendinant išsikeltus tikslus ir už meilę bei atsidavimą darbui.</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r>
    </w:p>
    <w:p>
      <w:pPr>
        <w:pStyle w:val="NoSpacing"/>
        <w:jc w:val="center"/>
        <w:rPr>
          <w:rFonts w:ascii="Times New Roman" w:hAnsi="Times New Roman" w:cs="Times New Roman"/>
          <w:b/>
          <w:b/>
          <w:bCs/>
          <w:sz w:val="24"/>
          <w:szCs w:val="24"/>
        </w:rPr>
      </w:pPr>
      <w:r>
        <w:rPr>
          <w:rFonts w:cs="Times New Roman" w:ascii="Times New Roman" w:hAnsi="Times New Roman"/>
          <w:b/>
          <w:bCs/>
          <w:sz w:val="24"/>
          <w:szCs w:val="24"/>
        </w:rPr>
        <w:t>I SKYRIUS</w:t>
      </w:r>
    </w:p>
    <w:p>
      <w:pPr>
        <w:pStyle w:val="NoSpacing"/>
        <w:jc w:val="center"/>
        <w:rPr>
          <w:rFonts w:ascii="Times New Roman" w:hAnsi="Times New Roman" w:cs="Times New Roman"/>
          <w:b/>
          <w:b/>
          <w:bCs/>
          <w:sz w:val="24"/>
          <w:szCs w:val="24"/>
        </w:rPr>
      </w:pPr>
      <w:r>
        <w:rPr>
          <w:rFonts w:cs="Times New Roman" w:ascii="Times New Roman" w:hAnsi="Times New Roman"/>
          <w:b/>
          <w:bCs/>
          <w:sz w:val="24"/>
          <w:szCs w:val="24"/>
        </w:rPr>
        <w:t>STRATEGINIŲ IR VEIKLOS TIKSLŲ ĮGYVENDINIMAS</w:t>
      </w:r>
    </w:p>
    <w:p>
      <w:pPr>
        <w:pStyle w:val="Normal"/>
        <w:widowControl w:val="false"/>
        <w:tabs>
          <w:tab w:val="clear" w:pos="1296"/>
          <w:tab w:val="left" w:pos="720" w:leader="none"/>
        </w:tabs>
        <w:spacing w:lineRule="auto" w:line="240" w:before="0" w:after="0"/>
        <w:ind w:firstLine="1134"/>
        <w:jc w:val="center"/>
        <w:rPr>
          <w:rFonts w:ascii="Times New Roman" w:hAnsi="Times New Roman"/>
          <w:b/>
          <w:b/>
          <w:szCs w:val="24"/>
        </w:rPr>
      </w:pPr>
      <w:r>
        <w:rPr>
          <w:rFonts w:ascii="Times New Roman" w:hAnsi="Times New Roman"/>
          <w:b/>
          <w:szCs w:val="24"/>
        </w:rPr>
      </w:r>
    </w:p>
    <w:p>
      <w:pPr>
        <w:pStyle w:val="Normal"/>
        <w:widowControl w:val="false"/>
        <w:tabs>
          <w:tab w:val="clear" w:pos="1296"/>
          <w:tab w:val="left" w:pos="720" w:leader="none"/>
        </w:tabs>
        <w:spacing w:lineRule="auto" w:line="240" w:before="0" w:after="0"/>
        <w:ind w:firstLine="1134"/>
        <w:jc w:val="both"/>
        <w:rPr>
          <w:rFonts w:ascii="Times New Roman" w:hAnsi="Times New Roman"/>
          <w:sz w:val="24"/>
          <w:szCs w:val="24"/>
        </w:rPr>
      </w:pPr>
      <w:r>
        <w:rPr>
          <w:rFonts w:ascii="Times New Roman" w:hAnsi="Times New Roman"/>
          <w:sz w:val="24"/>
          <w:szCs w:val="24"/>
        </w:rPr>
        <w:t xml:space="preserve">Įmonė užtikrino kokybišką paslaugų teikimą Ignalinos rajono savivaldybės teritorijoje, siekė mažinti sąnaudas ir taip organizuoti veiklą, kad Įmonė būtų pelninga. Taip pat siekė Įmonės strategijoje numatytų tikslų ir uždavinių įgyvendinimo. </w:t>
      </w:r>
    </w:p>
    <w:p>
      <w:pPr>
        <w:pStyle w:val="Normal"/>
        <w:widowControl w:val="false"/>
        <w:tabs>
          <w:tab w:val="clear" w:pos="1296"/>
          <w:tab w:val="left" w:pos="720" w:leader="none"/>
        </w:tabs>
        <w:spacing w:lineRule="auto" w:line="240" w:before="0" w:after="0"/>
        <w:ind w:firstLine="1134"/>
        <w:jc w:val="both"/>
        <w:rPr>
          <w:rFonts w:ascii="Times New Roman" w:hAnsi="Times New Roman" w:cs="Times New Roman"/>
          <w:sz w:val="24"/>
          <w:szCs w:val="24"/>
        </w:rPr>
      </w:pPr>
      <w:r>
        <w:rPr>
          <w:rFonts w:ascii="Times New Roman" w:hAnsi="Times New Roman"/>
          <w:sz w:val="24"/>
          <w:szCs w:val="24"/>
        </w:rPr>
        <w:t>2</w:t>
      </w:r>
      <w:r>
        <w:rPr>
          <w:rFonts w:cs="Times New Roman" w:ascii="Times New Roman" w:hAnsi="Times New Roman"/>
          <w:sz w:val="24"/>
          <w:szCs w:val="24"/>
        </w:rPr>
        <w:t xml:space="preserve">026–2030 metų </w:t>
      </w:r>
      <w:r>
        <w:rPr>
          <w:rFonts w:ascii="Times New Roman" w:hAnsi="Times New Roman"/>
          <w:sz w:val="24"/>
          <w:szCs w:val="24"/>
        </w:rPr>
        <w:t>veiklos strategijoje Į</w:t>
      </w:r>
      <w:r>
        <w:rPr>
          <w:rFonts w:cs="Times New Roman" w:ascii="Times New Roman" w:hAnsi="Times New Roman"/>
          <w:sz w:val="24"/>
          <w:szCs w:val="24"/>
        </w:rPr>
        <w:t>monė išsikėlė 6 pagrindinius strateginius tikslus:</w:t>
      </w:r>
    </w:p>
    <w:p>
      <w:pPr>
        <w:pStyle w:val="Normal"/>
        <w:widowControl w:val="false"/>
        <w:tabs>
          <w:tab w:val="clear" w:pos="1296"/>
          <w:tab w:val="left" w:pos="720" w:leader="none"/>
        </w:tabs>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lang w:val="pt-BR"/>
        </w:rPr>
        <w:t xml:space="preserve">1. </w:t>
      </w:r>
      <w:r>
        <w:rPr>
          <w:rFonts w:cs="Times New Roman" w:ascii="Times New Roman" w:hAnsi="Times New Roman"/>
          <w:sz w:val="24"/>
          <w:szCs w:val="24"/>
        </w:rPr>
        <w:t>Modernizuoti atliekų surinkimo sistemą.</w:t>
      </w:r>
    </w:p>
    <w:p>
      <w:pPr>
        <w:pStyle w:val="Normal"/>
        <w:widowControl w:val="false"/>
        <w:tabs>
          <w:tab w:val="clear" w:pos="1296"/>
          <w:tab w:val="left" w:pos="720" w:leader="none"/>
        </w:tabs>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lang w:val="pt-BR"/>
        </w:rPr>
        <w:t xml:space="preserve">2. </w:t>
      </w:r>
      <w:r>
        <w:rPr>
          <w:rFonts w:cs="Times New Roman" w:ascii="Times New Roman" w:hAnsi="Times New Roman"/>
          <w:sz w:val="24"/>
          <w:szCs w:val="24"/>
        </w:rPr>
        <w:t>Gerinti sutarčių su atliekų turėtojais administravimo efektyvumą ir kokybę.</w:t>
      </w:r>
    </w:p>
    <w:p>
      <w:pPr>
        <w:pStyle w:val="Normal"/>
        <w:widowControl w:val="false"/>
        <w:tabs>
          <w:tab w:val="clear" w:pos="1296"/>
          <w:tab w:val="left" w:pos="720" w:leader="none"/>
        </w:tabs>
        <w:spacing w:lineRule="auto" w:line="240" w:before="0" w:after="0"/>
        <w:ind w:firstLine="1134"/>
        <w:jc w:val="both"/>
        <w:rPr>
          <w:rFonts w:ascii="Times New Roman" w:hAnsi="Times New Roman" w:cs="Times New Roman"/>
          <w:sz w:val="24"/>
          <w:szCs w:val="24"/>
        </w:rPr>
      </w:pPr>
      <w:r>
        <w:rPr>
          <w:rFonts w:cs="Times New Roman" w:ascii="Times New Roman" w:hAnsi="Times New Roman"/>
          <w:color w:val="000000" w:themeColor="text1"/>
          <w:sz w:val="24"/>
          <w:szCs w:val="24"/>
          <w:lang w:val="pt-BR"/>
        </w:rPr>
        <w:t xml:space="preserve">3. </w:t>
      </w:r>
      <w:r>
        <w:rPr>
          <w:rFonts w:cs="Times New Roman" w:ascii="Times New Roman" w:hAnsi="Times New Roman"/>
          <w:color w:val="000000" w:themeColor="text1"/>
          <w:sz w:val="24"/>
          <w:szCs w:val="24"/>
        </w:rPr>
        <w:t>Paslaugas teikti kokybiškai, atsižvelgiant į Savivaldybės ir rajono gyventojų poreikius.</w:t>
      </w:r>
    </w:p>
    <w:p>
      <w:pPr>
        <w:pStyle w:val="Normal"/>
        <w:widowControl w:val="false"/>
        <w:tabs>
          <w:tab w:val="clear" w:pos="1296"/>
          <w:tab w:val="left" w:pos="720" w:leader="none"/>
        </w:tabs>
        <w:spacing w:lineRule="auto" w:line="240" w:before="0" w:after="0"/>
        <w:ind w:firstLine="1134"/>
        <w:jc w:val="both"/>
        <w:rPr>
          <w:rFonts w:ascii="Times New Roman" w:hAnsi="Times New Roman" w:cs="Times New Roman"/>
          <w:sz w:val="24"/>
          <w:szCs w:val="24"/>
        </w:rPr>
      </w:pPr>
      <w:r>
        <w:rPr>
          <w:rFonts w:cs="Times New Roman" w:ascii="Times New Roman" w:hAnsi="Times New Roman"/>
          <w:color w:val="000000" w:themeColor="text1"/>
          <w:sz w:val="24"/>
          <w:szCs w:val="24"/>
        </w:rPr>
        <w:t>4. Skatinti atliekų rūšiavimą ir mišrių atliekų mažinimą, ugdyti sąmoningumą.</w:t>
      </w:r>
    </w:p>
    <w:p>
      <w:pPr>
        <w:pStyle w:val="Normal"/>
        <w:widowControl w:val="false"/>
        <w:tabs>
          <w:tab w:val="clear" w:pos="1296"/>
          <w:tab w:val="left" w:pos="720" w:leader="none"/>
        </w:tabs>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5. Gerinti Įmonės ryšius su visuomene.</w:t>
      </w:r>
    </w:p>
    <w:p>
      <w:pPr>
        <w:pStyle w:val="Normal"/>
        <w:widowControl w:val="false"/>
        <w:tabs>
          <w:tab w:val="clear" w:pos="1296"/>
          <w:tab w:val="left" w:pos="720" w:leader="none"/>
        </w:tabs>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6. Didinti Įmonės teikiamų paslaugų apimtis.</w:t>
      </w:r>
    </w:p>
    <w:p>
      <w:pPr>
        <w:pStyle w:val="Normal"/>
        <w:snapToGrid w:val="false"/>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Šie strateginiai tikslai yra nukreipti gerinti vidinį organizacijos valdymą, tobulinti paslaugų kokybę ir kurti gerą Įmonės vardą. Tikslai atspindi 2021–2025 m. veiklos strategijos tęstinumą.</w:t>
      </w:r>
    </w:p>
    <w:p>
      <w:pPr>
        <w:pStyle w:val="Normal"/>
        <w:shd w:val="clear" w:color="auto" w:fill="FFFFFF"/>
        <w:spacing w:lineRule="auto" w:line="240" w:before="0" w:after="0"/>
        <w:ind w:firstLine="1134"/>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Vadovė, įgyvendindama pagrindinius veiklos tikslus, organizavo ir koordinavo Įmonės veiklą taip, kad visiems paslaugų gavėjams būtų teikiamos prieinamos, saugios, kvalifikuotos, kokybiškos paslaugos, gerinant teikiamų paslaugų kokybę, keliant personalo kvalifikaciją ir profesionalumą, diegiant naujas informacines technologijas, gerinant personalo darbo sąlygas. 2025 metais vadovei buvo suformuluoti 5 uždaviniai, kurie buvo įgyvendinti. </w:t>
      </w:r>
    </w:p>
    <w:p>
      <w:pPr>
        <w:pStyle w:val="NoSpacing"/>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r>
    </w:p>
    <w:p>
      <w:pPr>
        <w:pStyle w:val="NoSpacing"/>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r>
    </w:p>
    <w:p>
      <w:pPr>
        <w:pStyle w:val="NoSpacing"/>
        <w:ind w:firstLine="1134"/>
        <w:jc w:val="both"/>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Paslaugas teikti kokybiškai, atsižvelgiant į savivaldybės ir rajono gyventojų poreikius</w:t>
      </w:r>
    </w:p>
    <w:p>
      <w:pPr>
        <w:pStyle w:val="NoSpacing"/>
        <w:jc w:val="center"/>
        <w:rPr>
          <w:rFonts w:eastAsia="Times New Roman"/>
          <w:b/>
          <w:b/>
          <w:bCs/>
        </w:rPr>
      </w:pPr>
      <w:r>
        <w:rPr>
          <w:rFonts w:eastAsia="Times New Roman"/>
          <w:b/>
          <w:bCs/>
        </w:rPr>
      </w:r>
    </w:p>
    <w:p>
      <w:pPr>
        <w:pStyle w:val="NoSpacing"/>
        <w:ind w:firstLine="1134"/>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Viešosioms erdvėms tvarkyti buvo įsigyti du vejų pjovimo robotai, kurie šienauja plotus aplink savivaldybę ir aikštę. Robotai nekelia triukšmo ir visiškai išsprendė rankinio šienavimo poreikį ir kaštus. </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 xml:space="preserve">2025 metais buvo atnaujintas ir su  Ignalinos miesto seniūnu suderintas viešųjų erdvių aplinkos tvarkymo atliekamų darbų sąrašas, jis pateiktas derinti Komunalinio ūkio ir turto valdymo skyriui, perskaičiuoti įkainiai. </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2025 metais vyko intensyvus bendravimas ir derybos su viešosios įstaigos „Žaliasis taškas“ ir gamintojų ir importuotojų asociacijos „Gamtos ateitis“ atsakingais darbuotojais dėl sprendimo, kaip gauti apmokėjimą už išdalytus pakuočių ir stiklo konteinerius pagal 2023-11-15 susitarimą prie 2022 m. gruodžio 2 d. infrastruktūros plėtros ir infrastruktūros plėtros finansavimo Ignalinos rajono savivaldybėje sutarties Nr. INFR2022-12-02. Šalys priėmė sprendimą pagrindinėje sutartyje pakeisti išdalytų konteinerių kiekį ir jį fiksuoti, t. y. sutartį skaidyti į dvi dalis: faktiškai išdalyti ir SĮ „Kompata“ teritorijoje likę konteineriai, kurie bus dalijami ateityje. Ignalinos rajono savivaldybė, viešoji įstaiga „Žaliasis taškas“ ir gamintojų ir importuotojų asociacija „Gamtos ateitis“ turi pasirašyti naują infrastruktūros plėtros ir infrastruktūros plėtros finansavimo Ignalinos rajono savivaldybėje sutartį nurodant kitus konteinerių kiekius.</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Savivaldybei būtų padengta įsigytų ir išdalytų konteinerių suma, o SĮ „Kompata“ – 2,5 euro už kiekvieną išdalytą konteinerį pagal 2023-11-15 susitarimą. Iš viso išdalyta 5866 vnt. stiklo ir antrinių žaliavų konteinerių, liko – 2134 vnt.</w:t>
      </w:r>
    </w:p>
    <w:p>
      <w:pPr>
        <w:pStyle w:val="Normal"/>
        <w:shd w:val="clear" w:color="auto" w:fill="FFFFFF"/>
        <w:spacing w:lineRule="auto" w:line="240" w:before="0" w:after="0"/>
        <w:ind w:firstLine="72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hd w:val="clear" w:color="auto" w:fill="FFFFFF"/>
        <w:spacing w:lineRule="auto" w:line="240" w:before="0" w:after="0"/>
        <w:ind w:firstLine="1134"/>
        <w:rPr>
          <w:rFonts w:ascii="Times New Roman" w:hAnsi="Times New Roman" w:cs="Times New Roman"/>
          <w:b/>
          <w:b/>
          <w:bCs/>
          <w:sz w:val="24"/>
          <w:szCs w:val="24"/>
        </w:rPr>
      </w:pPr>
      <w:r>
        <w:rPr>
          <w:rFonts w:cs="Times New Roman" w:ascii="Times New Roman" w:hAnsi="Times New Roman"/>
          <w:b/>
          <w:bCs/>
          <w:sz w:val="24"/>
          <w:szCs w:val="24"/>
        </w:rPr>
        <w:t>Gerinti įmonės ryšius su visuomene</w:t>
      </w:r>
    </w:p>
    <w:p>
      <w:pPr>
        <w:pStyle w:val="Normal"/>
        <w:shd w:val="clear" w:color="auto" w:fill="FFFFFF"/>
        <w:spacing w:lineRule="auto" w:line="240" w:before="0" w:after="0"/>
        <w:ind w:firstLine="72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 xml:space="preserve">Viešinome maisto (virtuvės) atliekų surinkimo priemonių plėtros rajone projektą,  rengėme viešųjų pirkimų technines specifikacijas. </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 xml:space="preserve">Informacija  Įmonės svetainėje </w:t>
      </w:r>
      <w:hyperlink r:id="rId2">
        <w:r>
          <w:rPr>
            <w:rStyle w:val="InternetLink"/>
            <w:rFonts w:cs="Times New Roman" w:ascii="Times New Roman" w:hAnsi="Times New Roman"/>
            <w:sz w:val="24"/>
            <w:szCs w:val="24"/>
          </w:rPr>
          <w:t>www.kompata.lt</w:t>
        </w:r>
      </w:hyperlink>
      <w:r>
        <w:rPr>
          <w:rFonts w:cs="Times New Roman" w:ascii="Times New Roman" w:hAnsi="Times New Roman"/>
          <w:sz w:val="24"/>
          <w:szCs w:val="24"/>
        </w:rPr>
        <w:t xml:space="preserve"> ir socialiniame tinkle „Facebook“ atnaujinama nuolat ir ne mažiau kaip kartą per savaitę. Interneto svetainė </w:t>
      </w:r>
      <w:hyperlink r:id="rId3">
        <w:r>
          <w:rPr>
            <w:rStyle w:val="InternetLink"/>
            <w:rFonts w:cs="Times New Roman" w:ascii="Times New Roman" w:hAnsi="Times New Roman"/>
            <w:sz w:val="24"/>
            <w:szCs w:val="24"/>
          </w:rPr>
          <w:t>www.kompata.lt</w:t>
        </w:r>
      </w:hyperlink>
      <w:r>
        <w:rPr>
          <w:rFonts w:cs="Times New Roman" w:ascii="Times New Roman" w:hAnsi="Times New Roman"/>
          <w:sz w:val="24"/>
          <w:szCs w:val="24"/>
        </w:rPr>
        <w:t>, atsižvelgiant į vartotojų patogumą, buvo pritaikyta ir mobiliesiems įrenginiams. Klientai, apsilankę svetainėje, iš karto mato aktualiausias naujienas, atliekų surinkimo grafikų skiltį bei turi galimybę tiesiogiai užduoti klausimą. Pateikta informacija apie galiojančias atliekų išvežimo kainas pagal objektus, visus galiojančius teisės aktus, taisykles ir metodiką.</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Kontaktų skiltis sukurta taip, kad paspaudęs telefono numerį ar elektroninio pašto adresą vartotojas gali iš karto skambinti arba siųsti laišką – nereikia kopijuoti kontaktinių duomenų.</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 xml:space="preserve">2025 metais gauti 33 laiškai-paklausimai užpildant svetainėje  pateiktą formą. </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Komunalinių ir pakuočių atliekų surinkimo grafikai suskirstyti pagal seniūnijas. Kiekvienai seniūnijai parengti atskiri PDF ir JPG formato failai, kad gyventojams būtų patogiau rasti ir naudotis jiems aktualia informacija. Atliekų išvežimo grafikai skelbiami laikraštyje „Mūsų Ignalina“.</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SĮ „Kompata“ organizavo edukacines valandas ir renginius, skirtus gyventojams, kurių metu buvo pristatomos teisingo rūšiavimo taisyklės ir praktikos:</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1. 2025-03-18 Dūkšto globos namų gyventojams ir darbuotojams, dalyvavo 17 klausytojų;</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2. 2025-03-20 Ignalinos rajono savivaldybės viešoje bibliotekoje pradinių klasių moksleiviams ir darbuotojams – 50 dalyvių;</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3. 2025-04-10 Didžiasalio vaikų globos ir socialinės paramos šeimai centro „Vaikai yra vaikai“ Ignalinos miesto padalinyje – 14 darbuotojų ir šeimos centro globėjų;</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4. 2025-10-02 Didžiasalio vaikų globos ir socialinės paramos šeimai centro Didžiasalio kaimo padalinyje – 20 darbuotojų ir globojamų vaikų;</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 xml:space="preserve">5. 2025-09-22 SĮ „Kompata“ Ignalinos rudens mugėje lankytojams kartu su UAB „Utenos regiono atliekų tvarkymo centras“ teikė informaciją apie mišrių, maistinių, tekstilės ir stambiagabaričių atliekų tvarkymą. </w:t>
      </w:r>
    </w:p>
    <w:p>
      <w:pPr>
        <w:pStyle w:val="NoSpacing"/>
        <w:ind w:firstLine="1134"/>
        <w:jc w:val="both"/>
        <w:rPr>
          <w:rFonts w:ascii="Times New Roman" w:hAnsi="Times New Roman" w:cs="Times New Roman"/>
          <w:sz w:val="24"/>
          <w:szCs w:val="24"/>
        </w:rPr>
      </w:pPr>
      <w:r>
        <w:rPr>
          <w:rFonts w:cs="Times New Roman" w:ascii="Times New Roman" w:hAnsi="Times New Roman"/>
          <w:sz w:val="24"/>
          <w:szCs w:val="24"/>
        </w:rPr>
        <w:t xml:space="preserve">6. 2025-09-22 į Ignalinos rudens mugę  pakvietėme pakuočių organizaciją „Žaliasis taškas“, kurios atstovai lankytojus supažindino su pakuočių atliekų rūšiavimo principais.  </w:t>
      </w:r>
    </w:p>
    <w:p>
      <w:pPr>
        <w:pStyle w:val="Normal"/>
        <w:spacing w:lineRule="auto" w:line="240"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 xml:space="preserve">II SKYRIUS </w:t>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PROGRAMŲ ĮGYVENDINIMAS</w:t>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1134"/>
        <w:rPr>
          <w:rFonts w:ascii="Times New Roman" w:hAnsi="Times New Roman" w:cs="Times New Roman"/>
          <w:b/>
          <w:b/>
          <w:bCs/>
          <w:sz w:val="24"/>
          <w:szCs w:val="24"/>
        </w:rPr>
      </w:pPr>
      <w:r>
        <w:rPr>
          <w:rFonts w:cs="Times New Roman" w:ascii="Times New Roman" w:hAnsi="Times New Roman"/>
          <w:b/>
          <w:bCs/>
          <w:sz w:val="24"/>
          <w:szCs w:val="24"/>
        </w:rPr>
        <w:t>Įmonės veiklos rezultatas</w:t>
      </w:r>
    </w:p>
    <w:p>
      <w:pPr>
        <w:pStyle w:val="PreformattedText"/>
        <w:tabs>
          <w:tab w:val="clear" w:pos="1296"/>
          <w:tab w:val="left" w:pos="1134" w:leader="none"/>
        </w:tabs>
        <w:rPr>
          <w:rFonts w:ascii="Times New Roman" w:hAnsi="Times New Roman" w:cs="Times New Roman"/>
          <w:sz w:val="24"/>
          <w:szCs w:val="24"/>
          <w:lang w:val="lt-LT"/>
        </w:rPr>
      </w:pPr>
      <w:r>
        <w:rPr>
          <w:rFonts w:cs="Times New Roman" w:ascii="Times New Roman" w:hAnsi="Times New Roman"/>
          <w:sz w:val="24"/>
          <w:szCs w:val="24"/>
          <w:lang w:val="lt-LT"/>
        </w:rPr>
      </w:r>
    </w:p>
    <w:p>
      <w:pPr>
        <w:pStyle w:val="Normal"/>
        <w:spacing w:lineRule="auto" w:line="240" w:before="0" w:after="0"/>
        <w:jc w:val="center"/>
        <w:rPr>
          <w:rFonts w:ascii="Times New Roman" w:hAnsi="Times New Roman" w:eastAsia="Times New Roman" w:cs="Times New Roman"/>
          <w:b/>
          <w:b/>
          <w:bCs/>
          <w:color w:val="000000"/>
          <w:sz w:val="24"/>
          <w:szCs w:val="24"/>
          <w:lang w:eastAsia="lt-LT"/>
        </w:rPr>
      </w:pPr>
      <w:r>
        <w:rPr>
          <w:rFonts w:eastAsia="Times New Roman" w:cs="Times New Roman" w:ascii="Times New Roman" w:hAnsi="Times New Roman"/>
          <w:b/>
          <w:bCs/>
          <w:color w:val="000000"/>
          <w:sz w:val="24"/>
          <w:szCs w:val="24"/>
          <w:lang w:eastAsia="lt-LT"/>
        </w:rPr>
        <w:t>Savivaldybės įmonės „Kompata“ 2025 m. veiklos rezultatai (su bendrosiomis ir administracinėmis sąnaudomis) Eur</w:t>
      </w:r>
    </w:p>
    <w:tbl>
      <w:tblPr>
        <w:tblStyle w:val="Lentelstinklelis"/>
        <w:tblW w:w="935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79"/>
        <w:gridCol w:w="1134"/>
        <w:gridCol w:w="1277"/>
        <w:gridCol w:w="1274"/>
        <w:gridCol w:w="1419"/>
        <w:gridCol w:w="1275"/>
        <w:gridCol w:w="992"/>
      </w:tblGrid>
      <w:tr>
        <w:trPr/>
        <w:tc>
          <w:tcPr>
            <w:tcW w:w="197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r>
          </w:p>
        </w:tc>
        <w:tc>
          <w:tcPr>
            <w:tcW w:w="1134" w:type="dxa"/>
            <w:tcBorders/>
          </w:tcPr>
          <w:p>
            <w:pPr>
              <w:pStyle w:val="Normal"/>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Pajamos Eur (be PVM)</w:t>
            </w:r>
          </w:p>
        </w:tc>
        <w:tc>
          <w:tcPr>
            <w:tcW w:w="1277" w:type="dxa"/>
            <w:tcBorders/>
          </w:tcPr>
          <w:p>
            <w:pPr>
              <w:pStyle w:val="Normal"/>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Sąnaudos Eur (be PVM)</w:t>
            </w:r>
          </w:p>
        </w:tc>
        <w:tc>
          <w:tcPr>
            <w:tcW w:w="1274" w:type="dxa"/>
            <w:tcBorders/>
          </w:tcPr>
          <w:p>
            <w:pPr>
              <w:pStyle w:val="Normal"/>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Mechaninių dirbtuvių sąnaudos Eur (be PVM)</w:t>
            </w:r>
          </w:p>
        </w:tc>
        <w:tc>
          <w:tcPr>
            <w:tcW w:w="1419" w:type="dxa"/>
            <w:tcBorders/>
          </w:tcPr>
          <w:p>
            <w:pPr>
              <w:pStyle w:val="Normal"/>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Bendrosios ir administraci-nės sąnaudos Eur (be PVM)</w:t>
            </w:r>
          </w:p>
        </w:tc>
        <w:tc>
          <w:tcPr>
            <w:tcW w:w="1275" w:type="dxa"/>
            <w:tcBorders/>
          </w:tcPr>
          <w:p>
            <w:pPr>
              <w:pStyle w:val="Normal"/>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Visos sąnaudos Eur (be PVM)</w:t>
            </w:r>
          </w:p>
        </w:tc>
        <w:tc>
          <w:tcPr>
            <w:tcW w:w="992" w:type="dxa"/>
            <w:tcBorders/>
          </w:tcPr>
          <w:p>
            <w:pPr>
              <w:pStyle w:val="Normal"/>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Rezulta-tas (+,-)</w:t>
            </w:r>
          </w:p>
        </w:tc>
      </w:tr>
      <w:tr>
        <w:trPr/>
        <w:tc>
          <w:tcPr>
            <w:tcW w:w="197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Komunalinių atliekų tvarkymas</w:t>
            </w:r>
          </w:p>
        </w:tc>
        <w:tc>
          <w:tcPr>
            <w:tcW w:w="1134"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955339</w:t>
            </w:r>
          </w:p>
        </w:tc>
        <w:tc>
          <w:tcPr>
            <w:tcW w:w="1277"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732714</w:t>
            </w:r>
          </w:p>
        </w:tc>
        <w:tc>
          <w:tcPr>
            <w:tcW w:w="1274"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28188</w:t>
            </w:r>
          </w:p>
        </w:tc>
        <w:tc>
          <w:tcPr>
            <w:tcW w:w="141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199749</w:t>
            </w:r>
          </w:p>
        </w:tc>
        <w:tc>
          <w:tcPr>
            <w:tcW w:w="1275"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960651</w:t>
            </w:r>
          </w:p>
        </w:tc>
        <w:tc>
          <w:tcPr>
            <w:tcW w:w="992"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-5312</w:t>
            </w:r>
          </w:p>
        </w:tc>
      </w:tr>
      <w:tr>
        <w:trPr/>
        <w:tc>
          <w:tcPr>
            <w:tcW w:w="197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Antrinių žaliavų ir stiklo atliekų tvarkymas</w:t>
            </w:r>
          </w:p>
        </w:tc>
        <w:tc>
          <w:tcPr>
            <w:tcW w:w="1134"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149643</w:t>
            </w:r>
          </w:p>
        </w:tc>
        <w:tc>
          <w:tcPr>
            <w:tcW w:w="1277"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106595</w:t>
            </w:r>
          </w:p>
        </w:tc>
        <w:tc>
          <w:tcPr>
            <w:tcW w:w="1274"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5347</w:t>
            </w:r>
          </w:p>
        </w:tc>
        <w:tc>
          <w:tcPr>
            <w:tcW w:w="141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21667</w:t>
            </w:r>
          </w:p>
        </w:tc>
        <w:tc>
          <w:tcPr>
            <w:tcW w:w="1275"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133609</w:t>
            </w:r>
          </w:p>
        </w:tc>
        <w:tc>
          <w:tcPr>
            <w:tcW w:w="992"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+16034</w:t>
            </w:r>
          </w:p>
        </w:tc>
      </w:tr>
      <w:tr>
        <w:trPr/>
        <w:tc>
          <w:tcPr>
            <w:tcW w:w="197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Aplinkotvarka</w:t>
            </w:r>
          </w:p>
        </w:tc>
        <w:tc>
          <w:tcPr>
            <w:tcW w:w="1134"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544429</w:t>
            </w:r>
          </w:p>
        </w:tc>
        <w:tc>
          <w:tcPr>
            <w:tcW w:w="1277"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431912</w:t>
            </w:r>
          </w:p>
        </w:tc>
        <w:tc>
          <w:tcPr>
            <w:tcW w:w="1274"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14392</w:t>
            </w:r>
          </w:p>
        </w:tc>
        <w:tc>
          <w:tcPr>
            <w:tcW w:w="141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95764</w:t>
            </w:r>
          </w:p>
        </w:tc>
        <w:tc>
          <w:tcPr>
            <w:tcW w:w="1275"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542068</w:t>
            </w:r>
          </w:p>
        </w:tc>
        <w:tc>
          <w:tcPr>
            <w:tcW w:w="992"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+2361</w:t>
            </w:r>
          </w:p>
        </w:tc>
      </w:tr>
      <w:tr>
        <w:trPr/>
        <w:tc>
          <w:tcPr>
            <w:tcW w:w="197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Kita veikla</w:t>
            </w:r>
          </w:p>
        </w:tc>
        <w:tc>
          <w:tcPr>
            <w:tcW w:w="1134"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8960</w:t>
            </w:r>
          </w:p>
        </w:tc>
        <w:tc>
          <w:tcPr>
            <w:tcW w:w="1277"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16267</w:t>
            </w:r>
          </w:p>
        </w:tc>
        <w:tc>
          <w:tcPr>
            <w:tcW w:w="1274"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0</w:t>
            </w:r>
          </w:p>
        </w:tc>
        <w:tc>
          <w:tcPr>
            <w:tcW w:w="1419"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1737</w:t>
            </w:r>
          </w:p>
        </w:tc>
        <w:tc>
          <w:tcPr>
            <w:tcW w:w="1275"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18004</w:t>
            </w:r>
          </w:p>
        </w:tc>
        <w:tc>
          <w:tcPr>
            <w:tcW w:w="992" w:type="dxa"/>
            <w:tcBorders/>
          </w:tcPr>
          <w:p>
            <w:pPr>
              <w:pStyle w:val="Normal"/>
              <w:widowControl/>
              <w:spacing w:before="0" w:after="0"/>
              <w:jc w:val="center"/>
              <w:rPr>
                <w:rFonts w:ascii="Times New Roman" w:hAnsi="Times New Roman" w:cs="Times New Roman"/>
              </w:rPr>
            </w:pPr>
            <w:r>
              <w:rPr>
                <w:rFonts w:eastAsia="Calibri" w:cs="Times New Roman" w:ascii="Times New Roman" w:hAnsi="Times New Roman"/>
                <w:sz w:val="22"/>
                <w:szCs w:val="22"/>
                <w:lang w:val="lt-LT" w:eastAsia="en-US" w:bidi="ar-SA"/>
              </w:rPr>
              <w:t>-9044</w:t>
            </w:r>
          </w:p>
        </w:tc>
      </w:tr>
      <w:tr>
        <w:trPr/>
        <w:tc>
          <w:tcPr>
            <w:tcW w:w="1979" w:type="dxa"/>
            <w:tcBorders/>
          </w:tcPr>
          <w:p>
            <w:pPr>
              <w:pStyle w:val="Normal"/>
              <w:widowControl/>
              <w:spacing w:before="0" w:after="0"/>
              <w:jc w:val="center"/>
              <w:rPr>
                <w:rFonts w:ascii="Times New Roman" w:hAnsi="Times New Roman" w:cs="Times New Roman"/>
                <w:b/>
                <w:b/>
                <w:bCs/>
              </w:rPr>
            </w:pPr>
            <w:r>
              <w:rPr>
                <w:rFonts w:eastAsia="Calibri" w:cs="Times New Roman" w:ascii="Times New Roman" w:hAnsi="Times New Roman"/>
                <w:b/>
                <w:bCs/>
                <w:sz w:val="22"/>
                <w:szCs w:val="22"/>
                <w:lang w:val="lt-LT" w:eastAsia="en-US" w:bidi="ar-SA"/>
              </w:rPr>
              <w:t>Iš viso:</w:t>
            </w:r>
          </w:p>
        </w:tc>
        <w:tc>
          <w:tcPr>
            <w:tcW w:w="1134" w:type="dxa"/>
            <w:tcBorders/>
          </w:tcPr>
          <w:p>
            <w:pPr>
              <w:pStyle w:val="Normal"/>
              <w:widowControl/>
              <w:spacing w:before="0" w:after="0"/>
              <w:jc w:val="center"/>
              <w:rPr>
                <w:rFonts w:ascii="Times New Roman" w:hAnsi="Times New Roman" w:cs="Times New Roman"/>
                <w:b/>
                <w:b/>
                <w:bCs/>
              </w:rPr>
            </w:pPr>
            <w:r>
              <w:rPr>
                <w:rFonts w:eastAsia="Calibri" w:cs="Times New Roman" w:ascii="Times New Roman" w:hAnsi="Times New Roman"/>
                <w:b/>
                <w:bCs/>
                <w:sz w:val="22"/>
                <w:szCs w:val="22"/>
                <w:lang w:val="lt-LT" w:eastAsia="en-US" w:bidi="ar-SA"/>
              </w:rPr>
              <w:t>1658371</w:t>
            </w:r>
          </w:p>
        </w:tc>
        <w:tc>
          <w:tcPr>
            <w:tcW w:w="1277" w:type="dxa"/>
            <w:tcBorders/>
          </w:tcPr>
          <w:p>
            <w:pPr>
              <w:pStyle w:val="Normal"/>
              <w:widowControl/>
              <w:spacing w:before="0" w:after="0"/>
              <w:jc w:val="center"/>
              <w:rPr>
                <w:rFonts w:ascii="Times New Roman" w:hAnsi="Times New Roman" w:cs="Times New Roman"/>
                <w:b/>
                <w:b/>
                <w:bCs/>
              </w:rPr>
            </w:pPr>
            <w:r>
              <w:rPr>
                <w:rFonts w:eastAsia="Calibri" w:cs="Times New Roman" w:ascii="Times New Roman" w:hAnsi="Times New Roman"/>
                <w:b/>
                <w:bCs/>
                <w:sz w:val="22"/>
                <w:szCs w:val="22"/>
                <w:lang w:val="lt-LT" w:eastAsia="en-US" w:bidi="ar-SA"/>
              </w:rPr>
              <w:t>1278404</w:t>
            </w:r>
          </w:p>
        </w:tc>
        <w:tc>
          <w:tcPr>
            <w:tcW w:w="1274" w:type="dxa"/>
            <w:tcBorders/>
          </w:tcPr>
          <w:p>
            <w:pPr>
              <w:pStyle w:val="Normal"/>
              <w:widowControl/>
              <w:spacing w:before="0" w:after="0"/>
              <w:jc w:val="center"/>
              <w:rPr>
                <w:rFonts w:ascii="Times New Roman" w:hAnsi="Times New Roman" w:cs="Times New Roman"/>
                <w:b/>
                <w:b/>
                <w:bCs/>
              </w:rPr>
            </w:pPr>
            <w:r>
              <w:rPr>
                <w:rFonts w:eastAsia="Calibri" w:cs="Times New Roman" w:ascii="Times New Roman" w:hAnsi="Times New Roman"/>
                <w:b/>
                <w:bCs/>
                <w:sz w:val="22"/>
                <w:szCs w:val="22"/>
                <w:lang w:val="lt-LT" w:eastAsia="en-US" w:bidi="ar-SA"/>
              </w:rPr>
              <w:t>47927</w:t>
            </w:r>
          </w:p>
        </w:tc>
        <w:tc>
          <w:tcPr>
            <w:tcW w:w="1419" w:type="dxa"/>
            <w:tcBorders/>
          </w:tcPr>
          <w:p>
            <w:pPr>
              <w:pStyle w:val="Normal"/>
              <w:widowControl/>
              <w:spacing w:before="0" w:after="0"/>
              <w:jc w:val="center"/>
              <w:rPr>
                <w:rFonts w:ascii="Times New Roman" w:hAnsi="Times New Roman" w:cs="Times New Roman"/>
                <w:b/>
                <w:b/>
                <w:bCs/>
              </w:rPr>
            </w:pPr>
            <w:r>
              <w:rPr>
                <w:rFonts w:eastAsia="Calibri" w:cs="Times New Roman" w:ascii="Times New Roman" w:hAnsi="Times New Roman"/>
                <w:b/>
                <w:bCs/>
                <w:sz w:val="22"/>
                <w:szCs w:val="22"/>
                <w:lang w:val="lt-LT" w:eastAsia="en-US" w:bidi="ar-SA"/>
              </w:rPr>
              <w:t>318917</w:t>
            </w:r>
          </w:p>
        </w:tc>
        <w:tc>
          <w:tcPr>
            <w:tcW w:w="1275" w:type="dxa"/>
            <w:tcBorders/>
          </w:tcPr>
          <w:p>
            <w:pPr>
              <w:pStyle w:val="Normal"/>
              <w:widowControl/>
              <w:spacing w:before="0" w:after="0"/>
              <w:jc w:val="center"/>
              <w:rPr>
                <w:rFonts w:ascii="Times New Roman" w:hAnsi="Times New Roman" w:cs="Times New Roman"/>
                <w:b/>
                <w:b/>
                <w:bCs/>
              </w:rPr>
            </w:pPr>
            <w:r>
              <w:rPr>
                <w:rFonts w:eastAsia="Calibri" w:cs="Times New Roman" w:ascii="Times New Roman" w:hAnsi="Times New Roman"/>
                <w:b/>
                <w:bCs/>
                <w:sz w:val="22"/>
                <w:szCs w:val="22"/>
                <w:lang w:val="lt-LT" w:eastAsia="en-US" w:bidi="ar-SA"/>
              </w:rPr>
              <w:t>1654332</w:t>
            </w:r>
          </w:p>
        </w:tc>
        <w:tc>
          <w:tcPr>
            <w:tcW w:w="992" w:type="dxa"/>
            <w:tcBorders/>
          </w:tcPr>
          <w:p>
            <w:pPr>
              <w:pStyle w:val="Normal"/>
              <w:widowControl/>
              <w:spacing w:before="0" w:after="0"/>
              <w:jc w:val="center"/>
              <w:rPr>
                <w:rFonts w:ascii="Times New Roman" w:hAnsi="Times New Roman" w:cs="Times New Roman"/>
                <w:b/>
                <w:b/>
                <w:bCs/>
              </w:rPr>
            </w:pPr>
            <w:r>
              <w:rPr>
                <w:rFonts w:eastAsia="Calibri" w:cs="Times New Roman" w:ascii="Times New Roman" w:hAnsi="Times New Roman"/>
                <w:b/>
                <w:bCs/>
                <w:sz w:val="22"/>
                <w:szCs w:val="22"/>
                <w:lang w:val="lt-LT" w:eastAsia="en-US" w:bidi="ar-SA"/>
              </w:rPr>
              <w:t>+4039</w:t>
            </w:r>
          </w:p>
        </w:tc>
      </w:tr>
    </w:tbl>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 xml:space="preserve">          </w:t>
      </w:r>
    </w:p>
    <w:p>
      <w:pPr>
        <w:pStyle w:val="Normal"/>
        <w:spacing w:lineRule="auto" w:line="240" w:before="0" w:after="0"/>
        <w:ind w:firstLine="1134"/>
        <w:rPr>
          <w:rFonts w:ascii="Times New Roman" w:hAnsi="Times New Roman" w:cs="Times New Roman"/>
          <w:sz w:val="24"/>
          <w:szCs w:val="24"/>
        </w:rPr>
      </w:pPr>
      <w:r>
        <w:rPr>
          <w:rFonts w:cs="Times New Roman" w:ascii="Times New Roman" w:hAnsi="Times New Roman"/>
          <w:sz w:val="24"/>
          <w:szCs w:val="24"/>
        </w:rPr>
        <w:t>2025 metais iš viso gauta 1 649 411 pajamų, 10,6 proc. daugiau nei 2024 metais.</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PreformattedText"/>
        <w:ind w:firstLine="1134"/>
        <w:jc w:val="both"/>
        <w:rPr>
          <w:rFonts w:ascii="Times New Roman" w:hAnsi="Times New Roman" w:cs="Times New Roman"/>
          <w:sz w:val="24"/>
          <w:szCs w:val="24"/>
          <w:lang w:val="lt-LT"/>
        </w:rPr>
      </w:pPr>
      <w:r>
        <w:rPr>
          <w:rFonts w:cs="Times New Roman" w:ascii="Times New Roman" w:hAnsi="Times New Roman"/>
          <w:sz w:val="24"/>
          <w:szCs w:val="24"/>
          <w:lang w:val="lt-LT"/>
        </w:rPr>
        <w:t xml:space="preserve"> </w:t>
      </w:r>
      <w:r>
        <w:rPr>
          <w:rFonts w:cs="Times New Roman" w:ascii="Times New Roman" w:hAnsi="Times New Roman"/>
          <w:sz w:val="24"/>
          <w:szCs w:val="24"/>
          <w:lang w:val="lt-LT"/>
        </w:rPr>
        <w:t xml:space="preserve">Per ataskaitinį laikotarpį komunalinių atliekų surinkimo ir išvežimo paslaugų savikainą sudarė: </w:t>
      </w:r>
    </w:p>
    <w:tbl>
      <w:tblPr>
        <w:tblStyle w:val="Lentelstinklelis"/>
        <w:tblW w:w="892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07"/>
        <w:gridCol w:w="2406"/>
        <w:gridCol w:w="2408"/>
        <w:gridCol w:w="1704"/>
      </w:tblGrid>
      <w:tr>
        <w:trPr/>
        <w:tc>
          <w:tcPr>
            <w:tcW w:w="2407" w:type="dxa"/>
            <w:tcBorders/>
          </w:tcPr>
          <w:p>
            <w:pPr>
              <w:pStyle w:val="PreformattedText"/>
              <w:widowControl w:val="false"/>
              <w:spacing w:lineRule="auto" w:line="360" w:before="0" w:after="0"/>
              <w:jc w:val="center"/>
              <w:rPr>
                <w:rFonts w:ascii="Times New Roman" w:hAnsi="Times New Roman" w:cs="Times New Roman"/>
                <w:b/>
                <w:b/>
                <w:bCs/>
                <w:lang w:val="lt-LT"/>
              </w:rPr>
            </w:pPr>
            <w:r>
              <w:rPr>
                <w:rFonts w:cs="Times New Roman" w:ascii="Times New Roman" w:hAnsi="Times New Roman"/>
                <w:b/>
                <w:bCs/>
                <w:lang w:val="lt-LT"/>
              </w:rPr>
              <w:t>Pavadinimas</w:t>
            </w:r>
          </w:p>
        </w:tc>
        <w:tc>
          <w:tcPr>
            <w:tcW w:w="2406" w:type="dxa"/>
            <w:tcBorders/>
          </w:tcPr>
          <w:p>
            <w:pPr>
              <w:pStyle w:val="NoSpacing"/>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2025 m.</w:t>
            </w:r>
          </w:p>
          <w:p>
            <w:pPr>
              <w:pStyle w:val="NoSpacing"/>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savikainos suma Eur be PVM</w:t>
            </w:r>
          </w:p>
        </w:tc>
        <w:tc>
          <w:tcPr>
            <w:tcW w:w="2408" w:type="dxa"/>
            <w:tcBorders/>
          </w:tcPr>
          <w:p>
            <w:pPr>
              <w:pStyle w:val="NoSpacing"/>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2024 m.</w:t>
            </w:r>
          </w:p>
          <w:p>
            <w:pPr>
              <w:pStyle w:val="NoSpacing"/>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savikainos suma Eur be PVM</w:t>
            </w:r>
          </w:p>
        </w:tc>
        <w:tc>
          <w:tcPr>
            <w:tcW w:w="1704" w:type="dxa"/>
            <w:tcBorders/>
          </w:tcPr>
          <w:p>
            <w:pPr>
              <w:pStyle w:val="NoSpacing"/>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Skirtumas Eur</w:t>
            </w:r>
          </w:p>
          <w:p>
            <w:pPr>
              <w:pStyle w:val="NoSpacing"/>
              <w:widowControl/>
              <w:spacing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be PVM</w:t>
            </w:r>
          </w:p>
        </w:tc>
      </w:tr>
      <w:tr>
        <w:trPr>
          <w:trHeight w:val="603" w:hRule="atLeast"/>
        </w:trPr>
        <w:tc>
          <w:tcPr>
            <w:tcW w:w="2407" w:type="dxa"/>
            <w:tcBorders/>
          </w:tcPr>
          <w:p>
            <w:pPr>
              <w:pStyle w:val="NoSpacing"/>
              <w:widowControl/>
              <w:spacing w:before="0" w:after="0"/>
              <w:jc w:val="left"/>
              <w:rPr>
                <w:rFonts w:ascii="Times New Roman" w:hAnsi="Times New Roman" w:cs="Times New Roman"/>
                <w:sz w:val="20"/>
                <w:szCs w:val="20"/>
              </w:rPr>
            </w:pPr>
            <w:r>
              <w:rPr>
                <w:rFonts w:eastAsia="Calibri" w:cs="Times New Roman" w:ascii="Times New Roman" w:hAnsi="Times New Roman"/>
                <w:sz w:val="20"/>
                <w:szCs w:val="20"/>
                <w:lang w:val="lt-LT" w:eastAsia="en-US" w:bidi="ar-SA"/>
              </w:rPr>
              <w:t>Komunalinių atliekų tvarkymo savikaina</w:t>
            </w:r>
          </w:p>
        </w:tc>
        <w:tc>
          <w:tcPr>
            <w:tcW w:w="2406"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518412</w:t>
            </w:r>
          </w:p>
        </w:tc>
        <w:tc>
          <w:tcPr>
            <w:tcW w:w="2408"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494386</w:t>
            </w:r>
          </w:p>
        </w:tc>
        <w:tc>
          <w:tcPr>
            <w:tcW w:w="1704"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24026</w:t>
            </w:r>
          </w:p>
        </w:tc>
      </w:tr>
      <w:tr>
        <w:trPr/>
        <w:tc>
          <w:tcPr>
            <w:tcW w:w="2407" w:type="dxa"/>
            <w:tcBorders/>
          </w:tcPr>
          <w:p>
            <w:pPr>
              <w:pStyle w:val="NoSpacing"/>
              <w:widowControl/>
              <w:spacing w:before="0" w:after="0"/>
              <w:jc w:val="left"/>
              <w:rPr>
                <w:rFonts w:ascii="Times New Roman" w:hAnsi="Times New Roman" w:cs="Times New Roman"/>
                <w:sz w:val="20"/>
                <w:szCs w:val="20"/>
              </w:rPr>
            </w:pPr>
            <w:r>
              <w:rPr>
                <w:rFonts w:eastAsia="Calibri" w:cs="Times New Roman" w:ascii="Times New Roman" w:hAnsi="Times New Roman"/>
                <w:sz w:val="20"/>
                <w:szCs w:val="20"/>
                <w:lang w:val="lt-LT" w:eastAsia="en-US" w:bidi="ar-SA"/>
              </w:rPr>
              <w:t>Maisto atliekų tvarkymo savikaina</w:t>
            </w:r>
          </w:p>
        </w:tc>
        <w:tc>
          <w:tcPr>
            <w:tcW w:w="2406"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34937</w:t>
            </w:r>
          </w:p>
        </w:tc>
        <w:tc>
          <w:tcPr>
            <w:tcW w:w="2408"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39922</w:t>
            </w:r>
          </w:p>
        </w:tc>
        <w:tc>
          <w:tcPr>
            <w:tcW w:w="1704"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-4985</w:t>
            </w:r>
          </w:p>
        </w:tc>
      </w:tr>
      <w:tr>
        <w:trPr/>
        <w:tc>
          <w:tcPr>
            <w:tcW w:w="2407" w:type="dxa"/>
            <w:tcBorders/>
          </w:tcPr>
          <w:p>
            <w:pPr>
              <w:pStyle w:val="NoSpacing"/>
              <w:widowControl/>
              <w:spacing w:before="0" w:after="0"/>
              <w:jc w:val="left"/>
              <w:rPr>
                <w:rFonts w:ascii="Times New Roman" w:hAnsi="Times New Roman" w:cs="Times New Roman"/>
                <w:sz w:val="20"/>
                <w:szCs w:val="20"/>
              </w:rPr>
            </w:pPr>
            <w:r>
              <w:rPr>
                <w:rFonts w:eastAsia="Calibri" w:cs="Times New Roman" w:ascii="Times New Roman" w:hAnsi="Times New Roman"/>
                <w:sz w:val="20"/>
                <w:szCs w:val="20"/>
                <w:lang w:val="lt-LT" w:eastAsia="en-US" w:bidi="ar-SA"/>
              </w:rPr>
              <w:t>Tekstilės atliekų tvarkymo savikaina</w:t>
            </w:r>
          </w:p>
        </w:tc>
        <w:tc>
          <w:tcPr>
            <w:tcW w:w="2406"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44749</w:t>
            </w:r>
          </w:p>
        </w:tc>
        <w:tc>
          <w:tcPr>
            <w:tcW w:w="2408"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35092</w:t>
            </w:r>
          </w:p>
        </w:tc>
        <w:tc>
          <w:tcPr>
            <w:tcW w:w="1704"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9657</w:t>
            </w:r>
          </w:p>
        </w:tc>
      </w:tr>
      <w:tr>
        <w:trPr/>
        <w:tc>
          <w:tcPr>
            <w:tcW w:w="2407" w:type="dxa"/>
            <w:tcBorders/>
          </w:tcPr>
          <w:p>
            <w:pPr>
              <w:pStyle w:val="NoSpacing"/>
              <w:widowControl/>
              <w:spacing w:before="0" w:after="0"/>
              <w:jc w:val="left"/>
              <w:rPr>
                <w:rFonts w:ascii="Times New Roman" w:hAnsi="Times New Roman" w:cs="Times New Roman"/>
                <w:sz w:val="20"/>
                <w:szCs w:val="20"/>
              </w:rPr>
            </w:pPr>
            <w:r>
              <w:rPr>
                <w:rFonts w:eastAsia="Calibri" w:cs="Times New Roman" w:ascii="Times New Roman" w:hAnsi="Times New Roman"/>
                <w:sz w:val="20"/>
                <w:szCs w:val="20"/>
                <w:lang w:val="lt-LT" w:eastAsia="en-US" w:bidi="ar-SA"/>
              </w:rPr>
              <w:t>Stambių gabaritų ir kitų neperdirbamų atliekų tvarkymo savikaina</w:t>
            </w:r>
          </w:p>
        </w:tc>
        <w:tc>
          <w:tcPr>
            <w:tcW w:w="2406"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127038</w:t>
            </w:r>
          </w:p>
        </w:tc>
        <w:tc>
          <w:tcPr>
            <w:tcW w:w="2408"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18881</w:t>
            </w:r>
          </w:p>
        </w:tc>
        <w:tc>
          <w:tcPr>
            <w:tcW w:w="1704"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108157</w:t>
            </w:r>
          </w:p>
        </w:tc>
      </w:tr>
      <w:tr>
        <w:trPr/>
        <w:tc>
          <w:tcPr>
            <w:tcW w:w="2407" w:type="dxa"/>
            <w:tcBorders/>
          </w:tcPr>
          <w:p>
            <w:pPr>
              <w:pStyle w:val="NoSpacing"/>
              <w:widowControl/>
              <w:spacing w:before="0" w:after="0"/>
              <w:jc w:val="left"/>
              <w:rPr>
                <w:rFonts w:ascii="Times New Roman" w:hAnsi="Times New Roman" w:cs="Times New Roman"/>
                <w:sz w:val="20"/>
                <w:szCs w:val="20"/>
              </w:rPr>
            </w:pPr>
            <w:r>
              <w:rPr>
                <w:rFonts w:eastAsia="Calibri" w:cs="Times New Roman" w:ascii="Times New Roman" w:hAnsi="Times New Roman"/>
                <w:sz w:val="20"/>
                <w:szCs w:val="20"/>
                <w:lang w:val="lt-LT" w:eastAsia="en-US" w:bidi="ar-SA"/>
              </w:rPr>
              <w:t>Biologiškai skaidomų atliekų tvarkymo savikaina</w:t>
            </w:r>
          </w:p>
        </w:tc>
        <w:tc>
          <w:tcPr>
            <w:tcW w:w="2406"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7578</w:t>
            </w:r>
          </w:p>
        </w:tc>
        <w:tc>
          <w:tcPr>
            <w:tcW w:w="2408"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2329</w:t>
            </w:r>
          </w:p>
        </w:tc>
        <w:tc>
          <w:tcPr>
            <w:tcW w:w="1704"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5249</w:t>
            </w:r>
          </w:p>
        </w:tc>
      </w:tr>
      <w:tr>
        <w:trPr/>
        <w:tc>
          <w:tcPr>
            <w:tcW w:w="2407" w:type="dxa"/>
            <w:tcBorders/>
          </w:tcPr>
          <w:p>
            <w:pPr>
              <w:pStyle w:val="NoSpacing"/>
              <w:widowControl/>
              <w:spacing w:before="0" w:after="0"/>
              <w:jc w:val="left"/>
              <w:rPr>
                <w:sz w:val="20"/>
                <w:szCs w:val="20"/>
              </w:rPr>
            </w:pPr>
            <w:r>
              <w:rPr>
                <w:rFonts w:eastAsia="Calibri" w:cs="Times New Roman" w:ascii="Times New Roman" w:hAnsi="Times New Roman"/>
                <w:sz w:val="20"/>
                <w:szCs w:val="20"/>
                <w:lang w:val="lt-LT" w:eastAsia="en-US" w:bidi="ar-SA"/>
              </w:rPr>
              <w:t>Komunalinių atliekų surinkimo ir išvežimo paslaugų savikaina iš viso</w:t>
            </w:r>
          </w:p>
        </w:tc>
        <w:tc>
          <w:tcPr>
            <w:tcW w:w="2406"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732714</w:t>
            </w:r>
          </w:p>
        </w:tc>
        <w:tc>
          <w:tcPr>
            <w:tcW w:w="2408"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590610</w:t>
            </w:r>
          </w:p>
        </w:tc>
        <w:tc>
          <w:tcPr>
            <w:tcW w:w="1704" w:type="dxa"/>
            <w:tcBorders/>
          </w:tcPr>
          <w:p>
            <w:pPr>
              <w:pStyle w:val="PreformattedText"/>
              <w:widowControl w:val="false"/>
              <w:spacing w:lineRule="auto" w:line="360" w:before="0" w:after="0"/>
              <w:jc w:val="center"/>
              <w:rPr>
                <w:rFonts w:ascii="Times New Roman" w:hAnsi="Times New Roman" w:cs="Times New Roman"/>
                <w:sz w:val="24"/>
                <w:szCs w:val="24"/>
                <w:lang w:val="lt-LT"/>
              </w:rPr>
            </w:pPr>
            <w:r>
              <w:rPr>
                <w:rFonts w:cs="Times New Roman" w:ascii="Times New Roman" w:hAnsi="Times New Roman"/>
                <w:sz w:val="24"/>
                <w:szCs w:val="24"/>
                <w:lang w:val="lt-LT"/>
              </w:rPr>
              <w:t>142104</w:t>
            </w:r>
          </w:p>
        </w:tc>
      </w:tr>
    </w:tbl>
    <w:p>
      <w:pPr>
        <w:pStyle w:val="PreformattedText"/>
        <w:rPr>
          <w:rFonts w:ascii="Times New Roman" w:hAnsi="Times New Roman" w:cs="Times New Roman"/>
          <w:sz w:val="24"/>
          <w:szCs w:val="24"/>
          <w:lang w:val="lt-LT"/>
        </w:rPr>
      </w:pPr>
      <w:r>
        <w:rPr>
          <w:rFonts w:cs="Times New Roman" w:ascii="Times New Roman" w:hAnsi="Times New Roman"/>
          <w:sz w:val="24"/>
          <w:szCs w:val="24"/>
          <w:lang w:val="lt-LT"/>
        </w:rPr>
        <w:t xml:space="preserve">           </w:t>
      </w:r>
    </w:p>
    <w:p>
      <w:pPr>
        <w:pStyle w:val="PreformattedText"/>
        <w:ind w:firstLine="1134"/>
        <w:jc w:val="both"/>
        <w:rPr>
          <w:rFonts w:ascii="Times New Roman" w:hAnsi="Times New Roman" w:cs="Times New Roman"/>
          <w:sz w:val="24"/>
          <w:szCs w:val="24"/>
          <w:lang w:val="lt-LT"/>
        </w:rPr>
      </w:pPr>
      <w:r>
        <w:rPr>
          <w:rFonts w:cs="Times New Roman" w:ascii="Times New Roman" w:hAnsi="Times New Roman"/>
          <w:sz w:val="24"/>
          <w:szCs w:val="24"/>
          <w:lang w:val="lt-LT"/>
        </w:rPr>
        <w:t>2025 m. komunalinių atliekų surinkimo ir išvežimo paslaugų savikaina išaugo 142104 Eur daugiau nei 2024 metais, t. y. apie 24 proc.</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 xml:space="preserve">2025 metus Įmonė baigė turėdama 4 039 Eur pelno. </w:t>
      </w:r>
    </w:p>
    <w:p>
      <w:pPr>
        <w:pStyle w:val="Normal"/>
        <w:spacing w:lineRule="auto" w:line="240" w:before="0" w:after="0"/>
        <w:ind w:firstLine="425"/>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ind w:firstLine="1134"/>
        <w:jc w:val="both"/>
        <w:rPr>
          <w:rFonts w:ascii="Times New Roman" w:hAnsi="Times New Roman" w:eastAsia="Times New Roman" w:cs="Times New Roman"/>
          <w:b/>
          <w:b/>
          <w:bCs/>
          <w:color w:val="000000"/>
          <w:sz w:val="24"/>
          <w:szCs w:val="24"/>
          <w:lang w:eastAsia="lt-LT"/>
        </w:rPr>
      </w:pPr>
      <w:r>
        <w:rPr>
          <w:rFonts w:eastAsia="Times New Roman" w:cs="Times New Roman" w:ascii="Times New Roman" w:hAnsi="Times New Roman"/>
          <w:b/>
          <w:bCs/>
          <w:color w:val="000000"/>
          <w:sz w:val="24"/>
          <w:szCs w:val="24"/>
          <w:lang w:eastAsia="lt-LT"/>
        </w:rPr>
        <w:t>Komunalinių atliekų surinkimo ir įmokų administravimo įkainių perskaičiavimas</w:t>
      </w:r>
    </w:p>
    <w:p>
      <w:pPr>
        <w:pStyle w:val="Normal"/>
        <w:shd w:val="clear" w:color="auto" w:fill="FFFFFF"/>
        <w:spacing w:lineRule="auto" w:line="240" w:before="0" w:after="0"/>
        <w:ind w:firstLine="1134"/>
        <w:jc w:val="both"/>
        <w:rPr>
          <w:rFonts w:ascii="Times New Roman" w:hAnsi="Times New Roman" w:cs="Times New Roman"/>
          <w:sz w:val="24"/>
          <w:szCs w:val="24"/>
        </w:rPr>
      </w:pPr>
      <w:r>
        <w:rPr>
          <w:rFonts w:eastAsia="Times New Roman" w:cs="Times New Roman" w:ascii="Times New Roman" w:hAnsi="Times New Roman"/>
          <w:color w:val="000000"/>
          <w:sz w:val="24"/>
          <w:szCs w:val="24"/>
          <w:lang w:eastAsia="lt-LT"/>
        </w:rPr>
        <w:t>Remdamosi Lietuvos Respublikos atliekų tvarkymo įstatymo Nr. VIII-787 30</w:t>
      </w:r>
      <w:r>
        <w:rPr>
          <w:rFonts w:eastAsia="Times New Roman" w:cs="Times New Roman" w:ascii="Times New Roman" w:hAnsi="Times New Roman"/>
          <w:color w:val="000000"/>
          <w:sz w:val="24"/>
          <w:szCs w:val="24"/>
          <w:vertAlign w:val="superscript"/>
          <w:lang w:eastAsia="lt-LT"/>
        </w:rPr>
        <w:t>2</w:t>
      </w:r>
      <w:r>
        <w:rPr>
          <w:rFonts w:eastAsia="Times New Roman" w:cs="Times New Roman" w:ascii="Times New Roman" w:hAnsi="Times New Roman"/>
          <w:color w:val="000000"/>
          <w:sz w:val="24"/>
          <w:szCs w:val="24"/>
          <w:lang w:eastAsia="lt-LT"/>
        </w:rPr>
        <w:t xml:space="preserve"> straipsnio 10 dalimi, savivaldybių tarybos ne  vėliau kaip per 5 mėnesius nuo perskaičiuotų arba vėlesnių metų naujų regioninių kainų nustatymo dienos apskaičiuoja ir patvirtina naujus arba patvirtina esamus rinkliavos ar įmokos dydžius. SĮ „Kompata“, </w:t>
      </w:r>
      <w:r>
        <w:rPr>
          <w:rFonts w:cs="Times New Roman" w:ascii="Times New Roman" w:hAnsi="Times New Roman"/>
          <w:color w:val="000000"/>
          <w:sz w:val="24"/>
          <w:szCs w:val="24"/>
        </w:rPr>
        <w:t xml:space="preserve">remdamasi Metodika, 2025 m. perskaičiavo būtinąsias sąnaudas, susijusias su komunalinių atliekų surinkimu, tvarkymu ir įmokų administravimu. </w:t>
      </w:r>
      <w:r>
        <w:rPr>
          <w:rFonts w:cs="Times New Roman" w:ascii="Times New Roman" w:hAnsi="Times New Roman"/>
          <w:sz w:val="24"/>
          <w:szCs w:val="24"/>
        </w:rPr>
        <w:t>Siekdama nuoseklaus su į</w:t>
      </w:r>
      <w:r>
        <w:rPr>
          <w:rFonts w:cs="Times New Roman" w:ascii="Times New Roman" w:hAnsi="Times New Roman"/>
          <w:sz w:val="24"/>
          <w:szCs w:val="24"/>
          <w:lang w:eastAsia="lt-LT"/>
        </w:rPr>
        <w:t>moka</w:t>
      </w:r>
      <w:r>
        <w:rPr>
          <w:rFonts w:cs="Times New Roman" w:ascii="Times New Roman" w:hAnsi="Times New Roman"/>
          <w:color w:val="000000"/>
          <w:sz w:val="24"/>
          <w:szCs w:val="24"/>
          <w:shd w:fill="FFFFFF" w:val="clear"/>
        </w:rPr>
        <w:t xml:space="preserve"> susijusio </w:t>
      </w:r>
      <w:r>
        <w:rPr>
          <w:rFonts w:cs="Times New Roman" w:ascii="Times New Roman" w:hAnsi="Times New Roman"/>
          <w:sz w:val="24"/>
          <w:szCs w:val="24"/>
        </w:rPr>
        <w:t xml:space="preserve">teisinio reguliavimo </w:t>
      </w:r>
      <w:r>
        <w:rPr>
          <w:rFonts w:cs="Times New Roman" w:ascii="Times New Roman" w:hAnsi="Times New Roman"/>
          <w:sz w:val="24"/>
          <w:szCs w:val="24"/>
          <w:lang w:eastAsia="lt-LT"/>
        </w:rPr>
        <w:t>Ignalinos rajono savivaldybės taryba</w:t>
      </w:r>
      <w:r>
        <w:rPr>
          <w:rFonts w:cs="Times New Roman" w:ascii="Times New Roman" w:hAnsi="Times New Roman"/>
          <w:sz w:val="24"/>
          <w:szCs w:val="24"/>
        </w:rPr>
        <w:t xml:space="preserve"> patvirtino su įmokos mokėjimu susijusias taisykles ir Metodiką, kuri buvo keičiama tiek, kiek tai būtina siekiant ją suderinti su galiojančiais aukštesnės galios teisės aktais: suderintos sąvokos, aiškiai ir išsamiai nurodomos nustatant įmokos dydį skaičiuojamos sąnaudos, jų bei pačios įmokos apskaičiavimo tvarka, įvardijami įmokos dydžio perskaičiavimo pagrindai. Keičiant Metodiką, nebuvo keičiamos esminės įmokos dydžio apskaičiavimo nuostatos – įmokos skaičiavimo parametrai liko nepakitę. </w:t>
      </w:r>
    </w:p>
    <w:p>
      <w:pPr>
        <w:pStyle w:val="Normal"/>
        <w:shd w:val="clear" w:color="auto" w:fill="FFFFFF"/>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Įmonės veikloje apskaičiuojant komunalinių atliekų tvarkymo ir administravimo kainą gyventojams ir juridiniams asmenims, būtinųjų sąnaudų pasiskirstymas, turintis įtakos atliekų tvarkymo ir administravimo kainai, sudaro: 36 proc. – atliekų surinkimo ir vežimo sąnaudos; 34 proc. - URATC atliekų tvarkymo sąnaudos; 30 proc. – komunalinių atliekų surinkimo, tvarkymo ir lėšų administravimo sąnaudos.  Komunalinių atliekų kaina vartotojams kilo vidutiniškai 13,42 proc.</w:t>
      </w:r>
    </w:p>
    <w:p>
      <w:pPr>
        <w:pStyle w:val="Normal"/>
        <w:shd w:val="clear" w:color="auto" w:fill="FFFFFF"/>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spacing w:lineRule="auto" w:line="360" w:before="0" w:after="0"/>
        <w:ind w:firstLine="992"/>
        <w:jc w:val="center"/>
        <w:rPr>
          <w:rFonts w:ascii="Times New Roman" w:hAnsi="Times New Roman" w:cs="Times New Roman"/>
          <w:b/>
          <w:b/>
          <w:bCs/>
          <w:sz w:val="24"/>
          <w:szCs w:val="24"/>
        </w:rPr>
      </w:pPr>
      <w:r>
        <w:rPr>
          <w:rFonts w:cs="Times New Roman" w:ascii="Times New Roman" w:hAnsi="Times New Roman"/>
          <w:b/>
          <w:bCs/>
          <w:sz w:val="24"/>
          <w:szCs w:val="24"/>
        </w:rPr>
        <w:t>Kainos pasikeitimas, kai gyventojai registruoti tame pačiame būste</w:t>
      </w:r>
    </w:p>
    <w:tbl>
      <w:tblPr>
        <w:tblStyle w:val="Lentelstinklelis"/>
        <w:tblW w:w="774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373"/>
        <w:gridCol w:w="923"/>
        <w:gridCol w:w="1191"/>
        <w:gridCol w:w="902"/>
        <w:gridCol w:w="1177"/>
        <w:gridCol w:w="1191"/>
        <w:gridCol w:w="991"/>
      </w:tblGrid>
      <w:tr>
        <w:trPr>
          <w:trHeight w:val="918" w:hRule="atLeast"/>
        </w:trPr>
        <w:tc>
          <w:tcPr>
            <w:tcW w:w="1373"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r>
          </w:p>
        </w:tc>
        <w:tc>
          <w:tcPr>
            <w:tcW w:w="2114" w:type="dxa"/>
            <w:gridSpan w:val="2"/>
            <w:tcBorders/>
          </w:tcPr>
          <w:p>
            <w:pPr>
              <w:pStyle w:val="Normal"/>
              <w:widowControl/>
              <w:spacing w:before="0" w:after="0"/>
              <w:jc w:val="left"/>
              <w:rPr>
                <w:rFonts w:ascii="Times New Roman" w:hAnsi="Times New Roman" w:cs="Times New Roman"/>
              </w:rPr>
            </w:pPr>
            <w:r>
              <w:rPr>
                <w:rFonts w:eastAsia="Calibri" w:cs="Times New Roman" w:ascii="Times New Roman" w:hAnsi="Times New Roman"/>
                <w:sz w:val="22"/>
                <w:szCs w:val="22"/>
                <w:lang w:val="lt-LT" w:eastAsia="en-US" w:bidi="ar-SA"/>
              </w:rPr>
              <w:t>Buvęs mėn. mokestis Eur su PVM</w:t>
            </w:r>
          </w:p>
        </w:tc>
        <w:tc>
          <w:tcPr>
            <w:tcW w:w="902"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r>
          </w:p>
        </w:tc>
        <w:tc>
          <w:tcPr>
            <w:tcW w:w="2368" w:type="dxa"/>
            <w:gridSpan w:val="2"/>
            <w:tcBorders/>
          </w:tcPr>
          <w:p>
            <w:pPr>
              <w:pStyle w:val="Normal"/>
              <w:widowControl/>
              <w:spacing w:before="0" w:after="0"/>
              <w:jc w:val="left"/>
              <w:rPr>
                <w:rFonts w:ascii="Times New Roman" w:hAnsi="Times New Roman" w:cs="Times New Roman"/>
                <w:sz w:val="24"/>
                <w:szCs w:val="24"/>
              </w:rPr>
            </w:pPr>
            <w:r>
              <w:rPr>
                <w:rFonts w:eastAsia="Calibri" w:cs="Times New Roman" w:ascii="Times New Roman" w:hAnsi="Times New Roman"/>
                <w:lang w:val="lt-LT" w:eastAsia="en-US" w:bidi="ar-SA"/>
              </w:rPr>
              <w:t>Naujas mėn. mokestis Eur su PVM nuo 2026-01-01</w:t>
            </w:r>
          </w:p>
        </w:tc>
        <w:tc>
          <w:tcPr>
            <w:tcW w:w="9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r>
          </w:p>
        </w:tc>
      </w:tr>
      <w:tr>
        <w:trPr/>
        <w:tc>
          <w:tcPr>
            <w:tcW w:w="1373"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r>
          </w:p>
        </w:tc>
        <w:tc>
          <w:tcPr>
            <w:tcW w:w="923"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Pastovi</w:t>
            </w:r>
          </w:p>
        </w:tc>
        <w:tc>
          <w:tcPr>
            <w:tcW w:w="11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Kintamoji</w:t>
            </w:r>
          </w:p>
        </w:tc>
        <w:tc>
          <w:tcPr>
            <w:tcW w:w="902" w:type="dxa"/>
            <w:tcBorders/>
          </w:tcPr>
          <w:p>
            <w:pPr>
              <w:pStyle w:val="Normal"/>
              <w:widowControl/>
              <w:spacing w:lineRule="auto" w:line="360" w:before="0" w:after="0"/>
              <w:jc w:val="both"/>
              <w:rPr>
                <w:rFonts w:ascii="Times New Roman" w:hAnsi="Times New Roman" w:cs="Times New Roman"/>
                <w:b/>
                <w:b/>
                <w:bCs/>
                <w:sz w:val="24"/>
                <w:szCs w:val="24"/>
              </w:rPr>
            </w:pPr>
            <w:r>
              <w:rPr>
                <w:rFonts w:eastAsia="Calibri" w:cs="Times New Roman" w:ascii="Times New Roman" w:hAnsi="Times New Roman"/>
                <w:b/>
                <w:bCs/>
                <w:sz w:val="24"/>
                <w:szCs w:val="24"/>
                <w:lang w:val="lt-LT" w:eastAsia="en-US" w:bidi="ar-SA"/>
              </w:rPr>
              <w:t>Iš viso</w:t>
            </w:r>
          </w:p>
        </w:tc>
        <w:tc>
          <w:tcPr>
            <w:tcW w:w="1177"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Pastovi</w:t>
            </w:r>
          </w:p>
        </w:tc>
        <w:tc>
          <w:tcPr>
            <w:tcW w:w="11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Kintamoji</w:t>
            </w:r>
          </w:p>
        </w:tc>
        <w:tc>
          <w:tcPr>
            <w:tcW w:w="991" w:type="dxa"/>
            <w:tcBorders/>
          </w:tcPr>
          <w:p>
            <w:pPr>
              <w:pStyle w:val="Normal"/>
              <w:widowControl/>
              <w:spacing w:lineRule="auto" w:line="360" w:before="0" w:after="0"/>
              <w:jc w:val="both"/>
              <w:rPr>
                <w:rFonts w:ascii="Times New Roman" w:hAnsi="Times New Roman" w:cs="Times New Roman"/>
                <w:b/>
                <w:b/>
                <w:bCs/>
                <w:sz w:val="24"/>
                <w:szCs w:val="24"/>
              </w:rPr>
            </w:pPr>
            <w:r>
              <w:rPr>
                <w:rFonts w:eastAsia="Calibri" w:cs="Times New Roman" w:ascii="Times New Roman" w:hAnsi="Times New Roman"/>
                <w:b/>
                <w:bCs/>
                <w:sz w:val="24"/>
                <w:szCs w:val="24"/>
                <w:lang w:val="lt-LT" w:eastAsia="en-US" w:bidi="ar-SA"/>
              </w:rPr>
              <w:t>Iš viso</w:t>
            </w:r>
          </w:p>
        </w:tc>
      </w:tr>
      <w:tr>
        <w:trPr/>
        <w:tc>
          <w:tcPr>
            <w:tcW w:w="1373" w:type="dxa"/>
            <w:tcBorders/>
          </w:tcPr>
          <w:p>
            <w:pPr>
              <w:pStyle w:val="Normal"/>
              <w:widowControl/>
              <w:spacing w:lineRule="auto" w:line="360" w:before="0" w:after="0"/>
              <w:jc w:val="both"/>
              <w:rPr>
                <w:rFonts w:ascii="Times New Roman" w:hAnsi="Times New Roman" w:cs="Times New Roman"/>
              </w:rPr>
            </w:pPr>
            <w:r>
              <w:rPr>
                <w:rFonts w:eastAsia="Calibri" w:cs="Times New Roman" w:ascii="Times New Roman" w:hAnsi="Times New Roman"/>
                <w:sz w:val="22"/>
                <w:szCs w:val="22"/>
                <w:lang w:val="lt-LT" w:eastAsia="en-US" w:bidi="ar-SA"/>
              </w:rPr>
              <w:t>1 gyventojas</w:t>
            </w:r>
          </w:p>
        </w:tc>
        <w:tc>
          <w:tcPr>
            <w:tcW w:w="923"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4,19</w:t>
            </w:r>
          </w:p>
        </w:tc>
        <w:tc>
          <w:tcPr>
            <w:tcW w:w="11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2,38</w:t>
            </w:r>
          </w:p>
        </w:tc>
        <w:tc>
          <w:tcPr>
            <w:tcW w:w="902" w:type="dxa"/>
            <w:tcBorders/>
          </w:tcPr>
          <w:p>
            <w:pPr>
              <w:pStyle w:val="Normal"/>
              <w:widowControl/>
              <w:spacing w:lineRule="auto" w:line="360" w:before="0" w:after="0"/>
              <w:jc w:val="both"/>
              <w:rPr>
                <w:rFonts w:ascii="Times New Roman" w:hAnsi="Times New Roman" w:cs="Times New Roman"/>
                <w:b/>
                <w:b/>
                <w:bCs/>
                <w:sz w:val="24"/>
                <w:szCs w:val="24"/>
              </w:rPr>
            </w:pPr>
            <w:r>
              <w:rPr>
                <w:rFonts w:eastAsia="Calibri" w:cs="Times New Roman" w:ascii="Times New Roman" w:hAnsi="Times New Roman"/>
                <w:b/>
                <w:bCs/>
                <w:sz w:val="24"/>
                <w:szCs w:val="24"/>
                <w:lang w:val="lt-LT" w:eastAsia="en-US" w:bidi="ar-SA"/>
              </w:rPr>
              <w:t>6,57</w:t>
            </w:r>
          </w:p>
        </w:tc>
        <w:tc>
          <w:tcPr>
            <w:tcW w:w="1177"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4,63</w:t>
            </w:r>
          </w:p>
        </w:tc>
        <w:tc>
          <w:tcPr>
            <w:tcW w:w="11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2,88</w:t>
            </w:r>
          </w:p>
        </w:tc>
        <w:tc>
          <w:tcPr>
            <w:tcW w:w="991" w:type="dxa"/>
            <w:tcBorders/>
          </w:tcPr>
          <w:p>
            <w:pPr>
              <w:pStyle w:val="Normal"/>
              <w:widowControl/>
              <w:spacing w:lineRule="auto" w:line="360" w:before="0" w:after="0"/>
              <w:jc w:val="both"/>
              <w:rPr>
                <w:rFonts w:ascii="Times New Roman" w:hAnsi="Times New Roman" w:cs="Times New Roman"/>
                <w:b/>
                <w:b/>
                <w:bCs/>
                <w:sz w:val="24"/>
                <w:szCs w:val="24"/>
              </w:rPr>
            </w:pPr>
            <w:r>
              <w:rPr>
                <w:rFonts w:eastAsia="Calibri" w:cs="Times New Roman" w:ascii="Times New Roman" w:hAnsi="Times New Roman"/>
                <w:b/>
                <w:bCs/>
                <w:sz w:val="24"/>
                <w:szCs w:val="24"/>
                <w:lang w:val="lt-LT" w:eastAsia="en-US" w:bidi="ar-SA"/>
              </w:rPr>
              <w:t>7,51</w:t>
            </w:r>
          </w:p>
        </w:tc>
      </w:tr>
      <w:tr>
        <w:trPr/>
        <w:tc>
          <w:tcPr>
            <w:tcW w:w="1373" w:type="dxa"/>
            <w:tcBorders/>
          </w:tcPr>
          <w:p>
            <w:pPr>
              <w:pStyle w:val="Normal"/>
              <w:widowControl/>
              <w:spacing w:lineRule="auto" w:line="360" w:before="0" w:after="0"/>
              <w:jc w:val="both"/>
              <w:rPr>
                <w:rFonts w:ascii="Times New Roman" w:hAnsi="Times New Roman" w:cs="Times New Roman"/>
              </w:rPr>
            </w:pPr>
            <w:r>
              <w:rPr>
                <w:rFonts w:eastAsia="Calibri" w:cs="Times New Roman" w:ascii="Times New Roman" w:hAnsi="Times New Roman"/>
                <w:sz w:val="22"/>
                <w:szCs w:val="22"/>
                <w:lang w:val="lt-LT" w:eastAsia="en-US" w:bidi="ar-SA"/>
              </w:rPr>
              <w:t>2 gyventojai</w:t>
            </w:r>
          </w:p>
        </w:tc>
        <w:tc>
          <w:tcPr>
            <w:tcW w:w="923"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4,19</w:t>
            </w:r>
          </w:p>
        </w:tc>
        <w:tc>
          <w:tcPr>
            <w:tcW w:w="11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4,76</w:t>
            </w:r>
          </w:p>
        </w:tc>
        <w:tc>
          <w:tcPr>
            <w:tcW w:w="902" w:type="dxa"/>
            <w:tcBorders/>
          </w:tcPr>
          <w:p>
            <w:pPr>
              <w:pStyle w:val="Normal"/>
              <w:widowControl/>
              <w:spacing w:lineRule="auto" w:line="360" w:before="0" w:after="0"/>
              <w:jc w:val="both"/>
              <w:rPr>
                <w:rFonts w:ascii="Times New Roman" w:hAnsi="Times New Roman" w:cs="Times New Roman"/>
                <w:b/>
                <w:b/>
                <w:bCs/>
                <w:sz w:val="24"/>
                <w:szCs w:val="24"/>
              </w:rPr>
            </w:pPr>
            <w:r>
              <w:rPr>
                <w:rFonts w:eastAsia="Calibri" w:cs="Times New Roman" w:ascii="Times New Roman" w:hAnsi="Times New Roman"/>
                <w:b/>
                <w:bCs/>
                <w:sz w:val="24"/>
                <w:szCs w:val="24"/>
                <w:lang w:val="lt-LT" w:eastAsia="en-US" w:bidi="ar-SA"/>
              </w:rPr>
              <w:t>8,95</w:t>
            </w:r>
          </w:p>
        </w:tc>
        <w:tc>
          <w:tcPr>
            <w:tcW w:w="1177"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4,63</w:t>
            </w:r>
          </w:p>
        </w:tc>
        <w:tc>
          <w:tcPr>
            <w:tcW w:w="11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5,56</w:t>
            </w:r>
          </w:p>
        </w:tc>
        <w:tc>
          <w:tcPr>
            <w:tcW w:w="991" w:type="dxa"/>
            <w:tcBorders/>
          </w:tcPr>
          <w:p>
            <w:pPr>
              <w:pStyle w:val="Normal"/>
              <w:widowControl/>
              <w:spacing w:lineRule="auto" w:line="360" w:before="0" w:after="0"/>
              <w:jc w:val="both"/>
              <w:rPr>
                <w:rFonts w:ascii="Times New Roman" w:hAnsi="Times New Roman" w:cs="Times New Roman"/>
                <w:b/>
                <w:b/>
                <w:bCs/>
                <w:sz w:val="24"/>
                <w:szCs w:val="24"/>
              </w:rPr>
            </w:pPr>
            <w:r>
              <w:rPr>
                <w:rFonts w:eastAsia="Calibri" w:cs="Times New Roman" w:ascii="Times New Roman" w:hAnsi="Times New Roman"/>
                <w:b/>
                <w:bCs/>
                <w:sz w:val="24"/>
                <w:szCs w:val="24"/>
                <w:lang w:val="lt-LT" w:eastAsia="en-US" w:bidi="ar-SA"/>
              </w:rPr>
              <w:t>10,19</w:t>
            </w:r>
          </w:p>
        </w:tc>
      </w:tr>
      <w:tr>
        <w:trPr/>
        <w:tc>
          <w:tcPr>
            <w:tcW w:w="1373" w:type="dxa"/>
            <w:tcBorders/>
          </w:tcPr>
          <w:p>
            <w:pPr>
              <w:pStyle w:val="Normal"/>
              <w:widowControl/>
              <w:spacing w:lineRule="auto" w:line="360" w:before="0" w:after="0"/>
              <w:jc w:val="both"/>
              <w:rPr>
                <w:rFonts w:ascii="Times New Roman" w:hAnsi="Times New Roman" w:cs="Times New Roman"/>
              </w:rPr>
            </w:pPr>
            <w:r>
              <w:rPr>
                <w:rFonts w:eastAsia="Calibri" w:cs="Times New Roman" w:ascii="Times New Roman" w:hAnsi="Times New Roman"/>
                <w:sz w:val="22"/>
                <w:szCs w:val="22"/>
                <w:lang w:val="lt-LT" w:eastAsia="en-US" w:bidi="ar-SA"/>
              </w:rPr>
              <w:t>3 gyventojai</w:t>
            </w:r>
          </w:p>
        </w:tc>
        <w:tc>
          <w:tcPr>
            <w:tcW w:w="923"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4,19</w:t>
            </w:r>
          </w:p>
        </w:tc>
        <w:tc>
          <w:tcPr>
            <w:tcW w:w="11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7,14</w:t>
            </w:r>
          </w:p>
        </w:tc>
        <w:tc>
          <w:tcPr>
            <w:tcW w:w="902" w:type="dxa"/>
            <w:tcBorders/>
          </w:tcPr>
          <w:p>
            <w:pPr>
              <w:pStyle w:val="Normal"/>
              <w:widowControl/>
              <w:spacing w:lineRule="auto" w:line="360" w:before="0" w:after="0"/>
              <w:jc w:val="both"/>
              <w:rPr>
                <w:rFonts w:ascii="Times New Roman" w:hAnsi="Times New Roman" w:cs="Times New Roman"/>
                <w:b/>
                <w:b/>
                <w:bCs/>
                <w:sz w:val="24"/>
                <w:szCs w:val="24"/>
              </w:rPr>
            </w:pPr>
            <w:r>
              <w:rPr>
                <w:rFonts w:eastAsia="Calibri" w:cs="Times New Roman" w:ascii="Times New Roman" w:hAnsi="Times New Roman"/>
                <w:b/>
                <w:bCs/>
                <w:sz w:val="24"/>
                <w:szCs w:val="24"/>
                <w:lang w:val="lt-LT" w:eastAsia="en-US" w:bidi="ar-SA"/>
              </w:rPr>
              <w:t>11,33</w:t>
            </w:r>
          </w:p>
        </w:tc>
        <w:tc>
          <w:tcPr>
            <w:tcW w:w="1177"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4,63</w:t>
            </w:r>
          </w:p>
        </w:tc>
        <w:tc>
          <w:tcPr>
            <w:tcW w:w="1191" w:type="dxa"/>
            <w:tcBorders/>
          </w:tcPr>
          <w:p>
            <w:pPr>
              <w:pStyle w:val="Normal"/>
              <w:widowControl/>
              <w:spacing w:lineRule="auto" w:line="360" w:before="0" w:after="0"/>
              <w:jc w:val="both"/>
              <w:rPr>
                <w:rFonts w:ascii="Times New Roman" w:hAnsi="Times New Roman" w:cs="Times New Roman"/>
                <w:sz w:val="24"/>
                <w:szCs w:val="24"/>
              </w:rPr>
            </w:pPr>
            <w:r>
              <w:rPr>
                <w:rFonts w:eastAsia="Calibri" w:cs="Times New Roman" w:ascii="Times New Roman" w:hAnsi="Times New Roman"/>
                <w:sz w:val="24"/>
                <w:szCs w:val="24"/>
                <w:lang w:val="lt-LT" w:eastAsia="en-US" w:bidi="ar-SA"/>
              </w:rPr>
              <w:t>8,34</w:t>
            </w:r>
          </w:p>
        </w:tc>
        <w:tc>
          <w:tcPr>
            <w:tcW w:w="991" w:type="dxa"/>
            <w:tcBorders/>
          </w:tcPr>
          <w:p>
            <w:pPr>
              <w:pStyle w:val="Normal"/>
              <w:widowControl/>
              <w:spacing w:lineRule="auto" w:line="360" w:before="0" w:after="0"/>
              <w:jc w:val="both"/>
              <w:rPr>
                <w:rFonts w:ascii="Times New Roman" w:hAnsi="Times New Roman" w:cs="Times New Roman"/>
                <w:b/>
                <w:b/>
                <w:bCs/>
                <w:sz w:val="24"/>
                <w:szCs w:val="24"/>
              </w:rPr>
            </w:pPr>
            <w:r>
              <w:rPr>
                <w:rFonts w:eastAsia="Calibri" w:cs="Times New Roman" w:ascii="Times New Roman" w:hAnsi="Times New Roman"/>
                <w:b/>
                <w:bCs/>
                <w:sz w:val="24"/>
                <w:szCs w:val="24"/>
                <w:lang w:val="lt-LT" w:eastAsia="en-US" w:bidi="ar-SA"/>
              </w:rPr>
              <w:t>12,97</w:t>
            </w:r>
          </w:p>
        </w:tc>
      </w:tr>
    </w:tbl>
    <w:p>
      <w:pPr>
        <w:pStyle w:val="Normal"/>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III SKYRIUS</w:t>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t xml:space="preserve"> </w:t>
      </w:r>
      <w:r>
        <w:rPr>
          <w:rFonts w:cs="Times New Roman" w:ascii="Times New Roman" w:hAnsi="Times New Roman"/>
          <w:b/>
          <w:bCs/>
          <w:sz w:val="24"/>
          <w:szCs w:val="24"/>
        </w:rPr>
        <w:t>MIŠRIŲ ATLIEKŲ, ANTRINIŲ ŽALIAVŲ TVARKYMAS, INFRASTRUKTŪROS PLĖTRA IR VIEŠŲJŲ ERDVIŲ TVARKYMAS</w:t>
      </w:r>
    </w:p>
    <w:p>
      <w:pPr>
        <w:pStyle w:val="Normal"/>
        <w:spacing w:lineRule="auto" w:line="240" w:before="0" w:after="0"/>
        <w:jc w:val="both"/>
        <w:rPr>
          <w:rFonts w:ascii="Times New Roman" w:hAnsi="Times New Roman" w:eastAsia="Times New Roman" w:cs="Times New Roman"/>
          <w:color w:val="000000" w:themeColor="text1"/>
          <w:sz w:val="24"/>
          <w:szCs w:val="24"/>
          <w:lang w:eastAsia="lt-LT"/>
        </w:rPr>
      </w:pPr>
      <w:r>
        <w:rPr>
          <w:rFonts w:eastAsia="Times New Roman" w:cs="Times New Roman" w:ascii="Times New Roman" w:hAnsi="Times New Roman"/>
          <w:color w:val="000000" w:themeColor="text1"/>
          <w:sz w:val="24"/>
          <w:szCs w:val="24"/>
          <w:lang w:eastAsia="lt-LT"/>
        </w:rPr>
      </w:r>
    </w:p>
    <w:p>
      <w:pPr>
        <w:pStyle w:val="Normal"/>
        <w:tabs>
          <w:tab w:val="clear" w:pos="1296"/>
          <w:tab w:val="left" w:pos="1298" w:leader="none"/>
        </w:tabs>
        <w:spacing w:lineRule="auto" w:line="240" w:before="0" w:after="0"/>
        <w:ind w:firstLine="1134"/>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Viešųjų erdvių tvarkymas – antra pagrindinė veikla, sudaranti 33 procentus Įmonės pajamų. Per metus buvo atlikta daugybė darbų, kurie pagrįsti atliktų darbų aktais.</w:t>
      </w:r>
    </w:p>
    <w:p>
      <w:pPr>
        <w:pStyle w:val="Normal"/>
        <w:tabs>
          <w:tab w:val="clear" w:pos="1296"/>
          <w:tab w:val="left" w:pos="1298" w:leader="none"/>
        </w:tabs>
        <w:spacing w:lineRule="auto" w:line="240" w:before="0" w:after="0"/>
        <w:ind w:firstLine="1134"/>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Gatvių, šaligatvių ir viešųjų teritorijų valymo darbai buvo tvarkomi naudojant mikrotechniką su šlavimo mechanizmu bei vakuuminiu siurbimu, pritaikytu esamai infrastruktūrai. Paslaugos teiktos ne tik miesto ir kaimo seniūnijoms, bet ir įmonėms bei privatiems užsakovams.</w:t>
      </w:r>
    </w:p>
    <w:p>
      <w:pPr>
        <w:pStyle w:val="Normal"/>
        <w:tabs>
          <w:tab w:val="clear" w:pos="1296"/>
          <w:tab w:val="left" w:pos="1298" w:leader="none"/>
        </w:tabs>
        <w:spacing w:lineRule="auto" w:line="240" w:before="0" w:after="0"/>
        <w:ind w:firstLine="1134"/>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Miesto teritorijoje buvo genimi ir formuojami medžiai. Šie darbai vyko pasitelkus automobilinį bokštelį ir teleskopines genėjimo žirkles. Nugenėtos šakos buvo surinktos ir išvežtos į bioskaidžių atliekų aikštelę. Paslaugomis naudojosi ir Ignalinos rajono seniūnijos, įmonės bei gyventojai. Vasaros sezonu užtikrinome žolės pjovimo darbus tiek miesto seniūnijai, tiek gyventojams. Darbai buvo atliekami mini traktoriais ir diskinėmis krūmapjovėmis. Taip pat buvo vykdomi gatvių apšvietimo atnaujinimo darbai – seni šviestuvai demontuoti, jų vietoje sumontuoti nauji. Automobilinis bokštelis pritaikytas ir kitiems užsakymams – naudotas fasadams dažyti, lietvamzdžiams valyti, reklamoms kabinti bei kitiems aukštuminiams darbams atlikti. Rudenį pagrindinis dėmesys skirtas nukritusiems lapams surinkti ir išvežti. Žiemos sezono metu vykdėme sniego valymo ir dangų barstymo darbus įvairiose miesto vietose – privačių įmonių, degalinių, prekybos centrų teritorijose. Miesto šaligatviuose ir takuose dirbo mini traktoriai su sniego verstuvais bei barstymo įranga. Smėlio ir druskos mišiniams ruošti ir krauti naudotas frontalinis krautuvas, užtikrinęs darbų operatyvumą.</w:t>
      </w:r>
    </w:p>
    <w:p>
      <w:pPr>
        <w:pStyle w:val="Normal"/>
        <w:tabs>
          <w:tab w:val="clear" w:pos="1296"/>
          <w:tab w:val="left" w:pos="1298" w:leader="none"/>
        </w:tabs>
        <w:spacing w:lineRule="auto" w:line="240" w:before="0" w:after="0"/>
        <w:ind w:firstLine="720"/>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r>
      <w:bookmarkStart w:id="1" w:name="_Hlk66794783"/>
      <w:bookmarkStart w:id="2" w:name="_Hlk66794783"/>
      <w:bookmarkEnd w:id="2"/>
    </w:p>
    <w:p>
      <w:pPr>
        <w:pStyle w:val="Normal"/>
        <w:spacing w:lineRule="auto" w:line="240" w:before="0" w:after="0"/>
        <w:ind w:firstLine="1134"/>
        <w:rPr>
          <w:rFonts w:ascii="Times New Roman" w:hAnsi="Times New Roman" w:cs="Times New Roman"/>
          <w:b/>
          <w:b/>
          <w:bCs/>
          <w:sz w:val="24"/>
          <w:szCs w:val="24"/>
        </w:rPr>
      </w:pPr>
      <w:r>
        <w:rPr>
          <w:rFonts w:cs="Times New Roman" w:ascii="Times New Roman" w:hAnsi="Times New Roman"/>
          <w:b/>
          <w:bCs/>
          <w:sz w:val="24"/>
          <w:szCs w:val="24"/>
        </w:rPr>
        <w:t>Pakuočių atliekų surinkimas ir vežimas</w:t>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Pakuočių atliekų tvarkymas, didėjant globalizacijos poveikiui ir augant vartojimui, išlieka vienu didžiausių aplinkosaugos iššūkių Lietuvoje, Europoje ir visame pasaulyje. Kasmet pagaminamas milžiniškas vienkartinių pakuočių kiekis sukelia rimtas aplinkos taršos problemas.</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Europos Sąjunga yra iškėlusi aplinkosaugos tikslus: iki 2030 m. visos pakuotės turi būti tinkamos perdirbti, o iki 2040 m. visose valstybėse narėse vienam gyventojui tenkantis pakuočių atliekų kiekis turėtų būtų sumažintas 15 proc.</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Šie tikslai rodo aiškią kryptį žiedinės ekonomikos link, kurioje gaminiai būtų ilgaamžiškesni, lengvai taisomi ir perdirbami, o medžiagos bei pakuotės pakartotinai naudojamos. Toks požiūris padeda mažinti atliekų kiekį ir tausoti gamtinius išteklius, todėl pakuočių atliekos turi būti renkamos atskirai ir grąžinamos į gamybos ciklą.</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Ignalinos rajono savivaldybėje atliekų turėtojai privalo rūšiuoti pakuočių atliekas jų susidarymo vietose. Daugiabučių namų gyventojai išrūšiuotas atliekas meta į tam skirtus konteinerius kolektyvinėse aikštelėse, o individualių namų gyventojai aprūpinami individualiais rūšiavimo konteineriais, iš kurių atliekos surenkamos pagal nustatytą grafiką.</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2025 m. Ignalinos rajono savivaldybėje iš viso buvo surinkta 617,16 tonų plastiko, popieriaus, metalo ir stiklo pakuočių atliekų. Iš kolektyvinio srauto surinkta 275,4 tonų, o iš individualių valdų – 341,76 tonų.</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Pakuočių atliekų kiekiai 2022–2025 metais</w:t>
      </w:r>
    </w:p>
    <w:tbl>
      <w:tblPr>
        <w:tblStyle w:val="Lentelstinklelis"/>
        <w:tblW w:w="906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55"/>
        <w:gridCol w:w="1119"/>
        <w:gridCol w:w="1519"/>
        <w:gridCol w:w="1694"/>
        <w:gridCol w:w="1474"/>
      </w:tblGrid>
      <w:tr>
        <w:trPr>
          <w:trHeight w:val="210" w:hRule="atLeast"/>
        </w:trPr>
        <w:tc>
          <w:tcPr>
            <w:tcW w:w="3255" w:type="dxa"/>
            <w:vMerge w:val="restart"/>
            <w:tcBorders/>
            <w:vAlign w:val="center"/>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Pavadinimas</w:t>
            </w:r>
          </w:p>
        </w:tc>
        <w:tc>
          <w:tcPr>
            <w:tcW w:w="1119" w:type="dxa"/>
            <w:tcBorders/>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Kiekis t</w:t>
            </w:r>
          </w:p>
        </w:tc>
        <w:tc>
          <w:tcPr>
            <w:tcW w:w="1519" w:type="dxa"/>
            <w:tcBorders/>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Kiekis t</w:t>
            </w:r>
          </w:p>
        </w:tc>
        <w:tc>
          <w:tcPr>
            <w:tcW w:w="1694" w:type="dxa"/>
            <w:tcBorders/>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Kiekis t</w:t>
            </w:r>
          </w:p>
        </w:tc>
        <w:tc>
          <w:tcPr>
            <w:tcW w:w="1474" w:type="dxa"/>
            <w:tcBorders/>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Kiekis t</w:t>
            </w:r>
          </w:p>
        </w:tc>
      </w:tr>
      <w:tr>
        <w:trPr>
          <w:trHeight w:val="250" w:hRule="atLeast"/>
        </w:trPr>
        <w:tc>
          <w:tcPr>
            <w:tcW w:w="3255" w:type="dxa"/>
            <w:vMerge w:val="continue"/>
            <w:tcBorders/>
            <w:vAlign w:val="center"/>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r>
          </w:p>
        </w:tc>
        <w:tc>
          <w:tcPr>
            <w:tcW w:w="1119" w:type="dxa"/>
            <w:tcBorders/>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2025 m.</w:t>
            </w:r>
          </w:p>
        </w:tc>
        <w:tc>
          <w:tcPr>
            <w:tcW w:w="1519" w:type="dxa"/>
            <w:tcBorders/>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2024 m.</w:t>
            </w:r>
          </w:p>
        </w:tc>
        <w:tc>
          <w:tcPr>
            <w:tcW w:w="1694" w:type="dxa"/>
            <w:tcBorders/>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2023 m.</w:t>
            </w:r>
          </w:p>
        </w:tc>
        <w:tc>
          <w:tcPr>
            <w:tcW w:w="1474" w:type="dxa"/>
            <w:tcBorders/>
          </w:tcPr>
          <w:p>
            <w:pPr>
              <w:pStyle w:val="Normal"/>
              <w:widowControl/>
              <w:spacing w:lineRule="auto" w:line="240" w:before="0" w:after="0"/>
              <w:jc w:val="center"/>
              <w:rPr>
                <w:rFonts w:ascii="Times New Roman" w:hAnsi="Times New Roman" w:cs="Times New Roman"/>
                <w:b/>
                <w:b/>
                <w:bCs/>
                <w:sz w:val="20"/>
                <w:szCs w:val="20"/>
              </w:rPr>
            </w:pPr>
            <w:r>
              <w:rPr>
                <w:rFonts w:eastAsia="Calibri" w:cs="Times New Roman" w:ascii="Times New Roman" w:hAnsi="Times New Roman"/>
                <w:b/>
                <w:bCs/>
                <w:sz w:val="20"/>
                <w:szCs w:val="20"/>
                <w:lang w:val="lt-LT" w:eastAsia="en-US" w:bidi="ar-SA"/>
              </w:rPr>
              <w:t>2022 m.</w:t>
            </w:r>
          </w:p>
        </w:tc>
      </w:tr>
      <w:tr>
        <w:trPr/>
        <w:tc>
          <w:tcPr>
            <w:tcW w:w="3255" w:type="dxa"/>
            <w:tcBorders/>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ascii="Times New Roman" w:hAnsi="Times New Roman"/>
                <w:color w:val="000000"/>
                <w:sz w:val="20"/>
                <w:szCs w:val="20"/>
                <w:lang w:val="lt-LT" w:eastAsia="en-US" w:bidi="ar-SA"/>
              </w:rPr>
              <w:t>Pakuočių iš viešo naudojimo konteinerių 20 01 02 01 STIKLAS</w:t>
            </w:r>
          </w:p>
        </w:tc>
        <w:tc>
          <w:tcPr>
            <w:tcW w:w="11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117,82</w:t>
            </w:r>
          </w:p>
        </w:tc>
        <w:tc>
          <w:tcPr>
            <w:tcW w:w="15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110,16</w:t>
            </w:r>
          </w:p>
        </w:tc>
        <w:tc>
          <w:tcPr>
            <w:tcW w:w="169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151,40</w:t>
            </w:r>
          </w:p>
        </w:tc>
        <w:tc>
          <w:tcPr>
            <w:tcW w:w="147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126,52</w:t>
            </w:r>
          </w:p>
        </w:tc>
      </w:tr>
      <w:tr>
        <w:trPr/>
        <w:tc>
          <w:tcPr>
            <w:tcW w:w="3255" w:type="dxa"/>
            <w:tcBorders/>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ascii="Times New Roman" w:hAnsi="Times New Roman"/>
                <w:color w:val="000000"/>
                <w:sz w:val="20"/>
                <w:szCs w:val="20"/>
                <w:lang w:val="lt-LT" w:eastAsia="en-US" w:bidi="ar-SA"/>
              </w:rPr>
              <w:t>Pakuočių iš viešo naudojimo konteinerių 20 01 39 01 PLASTIKAS</w:t>
            </w:r>
          </w:p>
        </w:tc>
        <w:tc>
          <w:tcPr>
            <w:tcW w:w="11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88,08</w:t>
            </w:r>
          </w:p>
        </w:tc>
        <w:tc>
          <w:tcPr>
            <w:tcW w:w="15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87,44</w:t>
            </w:r>
          </w:p>
        </w:tc>
        <w:tc>
          <w:tcPr>
            <w:tcW w:w="169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66,58</w:t>
            </w:r>
          </w:p>
        </w:tc>
        <w:tc>
          <w:tcPr>
            <w:tcW w:w="147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70,44</w:t>
            </w:r>
          </w:p>
        </w:tc>
      </w:tr>
      <w:tr>
        <w:trPr/>
        <w:tc>
          <w:tcPr>
            <w:tcW w:w="3255" w:type="dxa"/>
            <w:tcBorders/>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ascii="Times New Roman" w:hAnsi="Times New Roman"/>
                <w:color w:val="000000"/>
                <w:sz w:val="20"/>
                <w:szCs w:val="20"/>
                <w:lang w:val="lt-LT" w:eastAsia="en-US" w:bidi="ar-SA"/>
              </w:rPr>
              <w:t>Pakuočių iš viešo naudojimo konteinerių 20 01 01 01 POPIERIUS</w:t>
            </w:r>
          </w:p>
        </w:tc>
        <w:tc>
          <w:tcPr>
            <w:tcW w:w="11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69,5</w:t>
            </w:r>
          </w:p>
        </w:tc>
        <w:tc>
          <w:tcPr>
            <w:tcW w:w="15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47,98</w:t>
            </w:r>
          </w:p>
        </w:tc>
        <w:tc>
          <w:tcPr>
            <w:tcW w:w="169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44,98</w:t>
            </w:r>
          </w:p>
        </w:tc>
        <w:tc>
          <w:tcPr>
            <w:tcW w:w="147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41,04</w:t>
            </w:r>
          </w:p>
        </w:tc>
      </w:tr>
      <w:tr>
        <w:trPr/>
        <w:tc>
          <w:tcPr>
            <w:tcW w:w="3255" w:type="dxa"/>
            <w:tcBorders/>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ascii="Times New Roman" w:hAnsi="Times New Roman"/>
                <w:color w:val="000000"/>
                <w:sz w:val="20"/>
                <w:szCs w:val="20"/>
                <w:lang w:val="lt-LT" w:eastAsia="en-US" w:bidi="ar-SA"/>
              </w:rPr>
              <w:t>Mišrių pakuočių iš individualių valdų 20 01 99 02</w:t>
            </w:r>
          </w:p>
        </w:tc>
        <w:tc>
          <w:tcPr>
            <w:tcW w:w="11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206,5</w:t>
            </w:r>
          </w:p>
        </w:tc>
        <w:tc>
          <w:tcPr>
            <w:tcW w:w="15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163,68</w:t>
            </w:r>
          </w:p>
        </w:tc>
        <w:tc>
          <w:tcPr>
            <w:tcW w:w="169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110,98</w:t>
            </w:r>
          </w:p>
        </w:tc>
        <w:tc>
          <w:tcPr>
            <w:tcW w:w="147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96,42</w:t>
            </w:r>
          </w:p>
        </w:tc>
      </w:tr>
      <w:tr>
        <w:trPr/>
        <w:tc>
          <w:tcPr>
            <w:tcW w:w="3255" w:type="dxa"/>
            <w:tcBorders/>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ascii="Times New Roman" w:hAnsi="Times New Roman"/>
                <w:color w:val="000000"/>
                <w:sz w:val="20"/>
                <w:szCs w:val="20"/>
                <w:lang w:val="lt-LT" w:eastAsia="en-US" w:bidi="ar-SA"/>
              </w:rPr>
              <w:t>Stiklo pakuočių iš individualių valdų</w:t>
            </w:r>
          </w:p>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ascii="Times New Roman" w:hAnsi="Times New Roman"/>
                <w:color w:val="000000"/>
                <w:sz w:val="20"/>
                <w:szCs w:val="20"/>
                <w:lang w:val="lt-LT" w:eastAsia="en-US" w:bidi="ar-SA"/>
              </w:rPr>
              <w:t>20 01 02 02</w:t>
            </w:r>
          </w:p>
        </w:tc>
        <w:tc>
          <w:tcPr>
            <w:tcW w:w="11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135,26</w:t>
            </w:r>
          </w:p>
        </w:tc>
        <w:tc>
          <w:tcPr>
            <w:tcW w:w="15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105,46</w:t>
            </w:r>
          </w:p>
        </w:tc>
        <w:tc>
          <w:tcPr>
            <w:tcW w:w="169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39,48</w:t>
            </w:r>
          </w:p>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(per du mėnesius)</w:t>
            </w:r>
          </w:p>
        </w:tc>
        <w:tc>
          <w:tcPr>
            <w:tcW w:w="147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r>
          </w:p>
        </w:tc>
      </w:tr>
      <w:tr>
        <w:trPr>
          <w:trHeight w:val="273" w:hRule="atLeast"/>
        </w:trPr>
        <w:tc>
          <w:tcPr>
            <w:tcW w:w="3255"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IŠ VISO</w:t>
            </w:r>
          </w:p>
        </w:tc>
        <w:tc>
          <w:tcPr>
            <w:tcW w:w="11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617,16</w:t>
            </w:r>
          </w:p>
        </w:tc>
        <w:tc>
          <w:tcPr>
            <w:tcW w:w="1519"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514,72</w:t>
            </w:r>
          </w:p>
          <w:p>
            <w:pPr>
              <w:pStyle w:val="Normal"/>
              <w:widowControl/>
              <w:spacing w:lineRule="auto" w:line="240" w:before="0" w:after="0"/>
              <w:jc w:val="left"/>
              <w:rPr>
                <w:rFonts w:ascii="Times New Roman" w:hAnsi="Times New Roman" w:cs="Times New Roman"/>
                <w:sz w:val="20"/>
                <w:szCs w:val="20"/>
              </w:rPr>
            </w:pPr>
            <w:r>
              <w:rPr>
                <w:rFonts w:eastAsia="Calibri" w:cs="Times New Roman" w:ascii="Times New Roman" w:hAnsi="Times New Roman"/>
                <w:sz w:val="20"/>
                <w:szCs w:val="20"/>
                <w:lang w:val="lt-LT" w:eastAsia="en-US" w:bidi="ar-SA"/>
              </w:rPr>
            </w:r>
          </w:p>
        </w:tc>
        <w:tc>
          <w:tcPr>
            <w:tcW w:w="169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413,42</w:t>
            </w:r>
          </w:p>
        </w:tc>
        <w:tc>
          <w:tcPr>
            <w:tcW w:w="1474" w:type="dxa"/>
            <w:tcBorders/>
            <w:vAlign w:val="center"/>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334,42</w:t>
            </w:r>
          </w:p>
        </w:tc>
      </w:tr>
    </w:tbl>
    <w:p>
      <w:pPr>
        <w:pStyle w:val="Normal"/>
        <w:spacing w:lineRule="auto" w:line="240" w:before="0" w:after="0"/>
        <w:jc w:val="center"/>
        <w:rPr>
          <w:rFonts w:ascii="Times New Roman" w:hAnsi="Times New Roman" w:eastAsia="Times New Roman" w:cs="Times New Roman"/>
          <w:sz w:val="24"/>
          <w:szCs w:val="24"/>
          <w:lang w:eastAsia="lt-LT"/>
        </w:rPr>
      </w:pPr>
      <w:r>
        <w:rPr>
          <w:rFonts w:eastAsia="Times New Roman" w:cs="Times New Roman" w:ascii="Times New Roman" w:hAnsi="Times New Roman"/>
          <w:sz w:val="24"/>
          <w:szCs w:val="24"/>
          <w:lang w:eastAsia="lt-LT"/>
        </w:rPr>
      </w:r>
    </w:p>
    <w:p>
      <w:pPr>
        <w:pStyle w:val="Normal"/>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sz w:val="24"/>
          <w:szCs w:val="24"/>
          <w:lang w:eastAsia="lt-LT"/>
        </w:rPr>
        <w:t xml:space="preserve">1 pav. </w:t>
      </w:r>
      <w:r>
        <w:rPr>
          <w:rFonts w:cs="Times New Roman" w:ascii="Times New Roman" w:hAnsi="Times New Roman"/>
          <w:sz w:val="24"/>
          <w:szCs w:val="24"/>
        </w:rPr>
        <w:t>Pakuočių atliekų kiekiai 2022–2025 metais</w:t>
      </w:r>
    </w:p>
    <w:p>
      <w:pPr>
        <w:pStyle w:val="Normal"/>
        <w:spacing w:lineRule="auto" w:line="240" w:before="0" w:after="0"/>
        <w:ind w:firstLine="1296"/>
        <w:jc w:val="both"/>
        <w:rPr>
          <w:rFonts w:ascii="Times New Roman" w:hAnsi="Times New Roman" w:cs="Times New Roman"/>
          <w:sz w:val="24"/>
          <w:szCs w:val="24"/>
        </w:rPr>
      </w:pPr>
      <w:r>
        <w:rPr/>
        <w:drawing>
          <wp:inline distT="0" distB="0" distL="0" distR="0">
            <wp:extent cx="4572000" cy="2603500"/>
            <wp:effectExtent l="0" t="0" r="0" b="0"/>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pStyle w:val="Normal"/>
        <w:spacing w:lineRule="auto" w:line="360" w:before="0" w:after="0"/>
        <w:jc w:val="both"/>
        <w:rPr>
          <w:rFonts w:ascii="Times New Roman" w:hAnsi="Times New Roman" w:eastAsia="Times New Roman" w:cs="Times New Roman"/>
          <w:sz w:val="24"/>
          <w:szCs w:val="24"/>
          <w:lang w:eastAsia="lt-LT"/>
        </w:rPr>
      </w:pPr>
      <w:r>
        <w:rPr>
          <w:rFonts w:eastAsia="Times New Roman" w:cs="Times New Roman" w:ascii="Times New Roman" w:hAnsi="Times New Roman"/>
          <w:sz w:val="24"/>
          <w:szCs w:val="24"/>
          <w:lang w:eastAsia="lt-LT"/>
        </w:rPr>
      </w:r>
    </w:p>
    <w:p>
      <w:pPr>
        <w:pStyle w:val="Normal"/>
        <w:spacing w:lineRule="auto" w:line="240" w:before="0" w:after="0"/>
        <w:ind w:firstLine="1134"/>
        <w:jc w:val="both"/>
        <w:rPr>
          <w:rFonts w:ascii="Times New Roman" w:hAnsi="Times New Roman" w:eastAsia="Times New Roman" w:cs="Times New Roman"/>
          <w:sz w:val="24"/>
          <w:szCs w:val="24"/>
          <w:lang w:eastAsia="lt-LT"/>
        </w:rPr>
      </w:pPr>
      <w:r>
        <w:rPr>
          <w:rFonts w:eastAsia="Times New Roman" w:cs="Times New Roman" w:ascii="Times New Roman" w:hAnsi="Times New Roman"/>
          <w:sz w:val="24"/>
          <w:szCs w:val="24"/>
          <w:lang w:eastAsia="lt-LT"/>
        </w:rPr>
        <w:t xml:space="preserve">Kasmet surenkamų rūšiuotų pakuočių atliekų kiekis auga apie 22,5 proc. Šį augimą lemia tiek didėjanti informacijos sklaida apie rūšiavimą, tiek aktyvesnis gyventojų įsitraukimas į atsakingą atliekų tvarkymą. Siekiant užtikrinti sklandų atliekų rūšiavimo procesą, būtina ne tik šviesti visuomenę apie teisingą rūšiavimą, bet ir užtikrinti patogią bei tinkamą infrastruktūrą. Tai padeda palengvinti ir padaryti atliekų rūšiavimą namų ūkiuose patogesnį ir efektyvesnį. </w:t>
      </w:r>
    </w:p>
    <w:p>
      <w:pPr>
        <w:pStyle w:val="Normal"/>
        <w:spacing w:lineRule="auto" w:line="240" w:before="0" w:after="0"/>
        <w:rPr>
          <w:rFonts w:ascii="Times New Roman" w:hAnsi="Times New Roman" w:eastAsia="Times New Roman" w:cs="Times New Roman"/>
          <w:sz w:val="24"/>
          <w:szCs w:val="24"/>
          <w:lang w:eastAsia="lt-LT"/>
        </w:rPr>
      </w:pPr>
      <w:r>
        <w:rPr>
          <w:rFonts w:eastAsia="Times New Roman" w:cs="Times New Roman" w:ascii="Times New Roman" w:hAnsi="Times New Roman"/>
          <w:sz w:val="24"/>
          <w:szCs w:val="24"/>
          <w:lang w:eastAsia="lt-LT"/>
        </w:rPr>
      </w:r>
    </w:p>
    <w:p>
      <w:pPr>
        <w:pStyle w:val="Normal"/>
        <w:spacing w:lineRule="auto" w:line="240" w:before="0" w:after="0"/>
        <w:jc w:val="center"/>
        <w:rPr>
          <w:rFonts w:ascii="Times New Roman" w:hAnsi="Times New Roman" w:eastAsia="Times New Roman" w:cs="Times New Roman"/>
          <w:sz w:val="24"/>
          <w:szCs w:val="24"/>
          <w:lang w:eastAsia="lt-LT"/>
        </w:rPr>
      </w:pPr>
      <w:r>
        <w:rPr>
          <w:rFonts w:eastAsia="Times New Roman" w:cs="Times New Roman" w:ascii="Times New Roman" w:hAnsi="Times New Roman"/>
          <w:sz w:val="24"/>
          <w:szCs w:val="24"/>
          <w:lang w:eastAsia="lt-LT"/>
        </w:rPr>
        <w:t xml:space="preserve"> </w:t>
      </w:r>
    </w:p>
    <w:p>
      <w:pPr>
        <w:pStyle w:val="Normal"/>
        <w:spacing w:lineRule="auto" w:line="240" w:before="0" w:after="0"/>
        <w:jc w:val="center"/>
        <w:rPr>
          <w:rFonts w:ascii="Times New Roman" w:hAnsi="Times New Roman" w:eastAsia="Times New Roman" w:cs="Times New Roman"/>
          <w:sz w:val="24"/>
          <w:szCs w:val="24"/>
          <w:lang w:eastAsia="lt-LT"/>
        </w:rPr>
      </w:pPr>
      <w:r>
        <w:rPr>
          <w:rFonts w:eastAsia="Times New Roman" w:cs="Times New Roman" w:ascii="Times New Roman" w:hAnsi="Times New Roman"/>
          <w:sz w:val="24"/>
          <w:szCs w:val="24"/>
          <w:lang w:eastAsia="lt-LT"/>
        </w:rPr>
      </w:r>
    </w:p>
    <w:p>
      <w:pPr>
        <w:pStyle w:val="Normal"/>
        <w:spacing w:lineRule="auto" w:line="240" w:before="0" w:after="0"/>
        <w:jc w:val="center"/>
        <w:rPr>
          <w:rFonts w:ascii="Times New Roman" w:hAnsi="Times New Roman" w:eastAsia="Times New Roman" w:cs="Times New Roman"/>
          <w:sz w:val="24"/>
          <w:szCs w:val="24"/>
          <w:lang w:eastAsia="lt-LT"/>
        </w:rPr>
      </w:pPr>
      <w:r>
        <w:rPr>
          <w:rFonts w:eastAsia="Times New Roman" w:cs="Times New Roman" w:ascii="Times New Roman" w:hAnsi="Times New Roman"/>
          <w:sz w:val="24"/>
          <w:szCs w:val="24"/>
          <w:lang w:eastAsia="lt-LT"/>
        </w:rPr>
        <w:t>2025 m. pakuočių atliekų kiekiai kas mėnesį</w:t>
      </w:r>
    </w:p>
    <w:tbl>
      <w:tblPr>
        <w:tblW w:w="10731" w:type="dxa"/>
        <w:jc w:val="left"/>
        <w:tblInd w:w="-998" w:type="dxa"/>
        <w:tblLayout w:type="fixed"/>
        <w:tblCellMar>
          <w:top w:w="0" w:type="dxa"/>
          <w:left w:w="108" w:type="dxa"/>
          <w:bottom w:w="0" w:type="dxa"/>
          <w:right w:w="108" w:type="dxa"/>
        </w:tblCellMar>
        <w:tblLook w:firstRow="1" w:noVBand="1" w:lastRow="0" w:firstColumn="1" w:lastColumn="0" w:noHBand="0" w:val="04a0"/>
      </w:tblPr>
      <w:tblGrid>
        <w:gridCol w:w="1811"/>
        <w:gridCol w:w="652"/>
        <w:gridCol w:w="729"/>
        <w:gridCol w:w="652"/>
        <w:gridCol w:w="816"/>
        <w:gridCol w:w="738"/>
        <w:gridCol w:w="749"/>
        <w:gridCol w:w="603"/>
        <w:gridCol w:w="885"/>
        <w:gridCol w:w="808"/>
        <w:gridCol w:w="684"/>
        <w:gridCol w:w="836"/>
        <w:gridCol w:w="767"/>
      </w:tblGrid>
      <w:tr>
        <w:trPr>
          <w:trHeight w:val="354" w:hRule="atLeast"/>
        </w:trPr>
        <w:tc>
          <w:tcPr>
            <w:tcW w:w="18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 </w:t>
            </w:r>
          </w:p>
        </w:tc>
        <w:tc>
          <w:tcPr>
            <w:tcW w:w="652"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Sausis</w:t>
            </w:r>
          </w:p>
        </w:tc>
        <w:tc>
          <w:tcPr>
            <w:tcW w:w="729"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Vasaris</w:t>
            </w:r>
          </w:p>
        </w:tc>
        <w:tc>
          <w:tcPr>
            <w:tcW w:w="652"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Kovas</w:t>
            </w:r>
          </w:p>
        </w:tc>
        <w:tc>
          <w:tcPr>
            <w:tcW w:w="816"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Balandis</w:t>
            </w:r>
          </w:p>
        </w:tc>
        <w:tc>
          <w:tcPr>
            <w:tcW w:w="738"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Gegužė</w:t>
            </w:r>
          </w:p>
        </w:tc>
        <w:tc>
          <w:tcPr>
            <w:tcW w:w="749"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Birželis</w:t>
            </w:r>
          </w:p>
        </w:tc>
        <w:tc>
          <w:tcPr>
            <w:tcW w:w="603"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Liepa</w:t>
            </w:r>
          </w:p>
        </w:tc>
        <w:tc>
          <w:tcPr>
            <w:tcW w:w="885"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Rugpjūtis</w:t>
            </w:r>
          </w:p>
        </w:tc>
        <w:tc>
          <w:tcPr>
            <w:tcW w:w="808"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Rugsėjis</w:t>
            </w:r>
          </w:p>
        </w:tc>
        <w:tc>
          <w:tcPr>
            <w:tcW w:w="684"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Spalis</w:t>
            </w:r>
          </w:p>
        </w:tc>
        <w:tc>
          <w:tcPr>
            <w:tcW w:w="836"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Lapkritis</w:t>
            </w:r>
          </w:p>
        </w:tc>
        <w:tc>
          <w:tcPr>
            <w:tcW w:w="767"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Gruodis</w:t>
            </w:r>
          </w:p>
        </w:tc>
      </w:tr>
      <w:tr>
        <w:trPr>
          <w:trHeight w:val="354" w:hRule="atLeast"/>
        </w:trPr>
        <w:tc>
          <w:tcPr>
            <w:tcW w:w="181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sz w:val="18"/>
                <w:szCs w:val="18"/>
                <w:lang w:eastAsia="lt-LT"/>
              </w:rPr>
            </w:pPr>
            <w:r>
              <w:rPr>
                <w:rFonts w:eastAsia="Times New Roman" w:cs="Times New Roman" w:ascii="Times New Roman" w:hAnsi="Times New Roman"/>
                <w:b/>
                <w:bCs/>
                <w:color w:val="000000"/>
                <w:sz w:val="18"/>
                <w:szCs w:val="18"/>
                <w:lang w:eastAsia="lt-LT"/>
              </w:rPr>
              <w:t>Stiklo</w:t>
            </w:r>
            <w:r>
              <w:rPr>
                <w:rFonts w:eastAsia="Times New Roman" w:cs="Times New Roman" w:ascii="Times New Roman" w:hAnsi="Times New Roman"/>
                <w:color w:val="000000"/>
                <w:sz w:val="18"/>
                <w:szCs w:val="18"/>
                <w:lang w:eastAsia="lt-LT"/>
              </w:rPr>
              <w:t xml:space="preserve"> pakuotės iš kolektyvinių konteinerių</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12,48</w:t>
            </w:r>
          </w:p>
        </w:tc>
        <w:tc>
          <w:tcPr>
            <w:tcW w:w="72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14,1</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81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9,06</w:t>
            </w:r>
          </w:p>
        </w:tc>
        <w:tc>
          <w:tcPr>
            <w:tcW w:w="73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8,54</w:t>
            </w:r>
          </w:p>
        </w:tc>
        <w:tc>
          <w:tcPr>
            <w:tcW w:w="74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12,46</w:t>
            </w:r>
          </w:p>
        </w:tc>
        <w:tc>
          <w:tcPr>
            <w:tcW w:w="603"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13,32</w:t>
            </w:r>
          </w:p>
        </w:tc>
        <w:tc>
          <w:tcPr>
            <w:tcW w:w="885"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8,88</w:t>
            </w:r>
          </w:p>
        </w:tc>
        <w:tc>
          <w:tcPr>
            <w:tcW w:w="80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8,46</w:t>
            </w:r>
          </w:p>
        </w:tc>
        <w:tc>
          <w:tcPr>
            <w:tcW w:w="684"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13,12</w:t>
            </w:r>
          </w:p>
        </w:tc>
        <w:tc>
          <w:tcPr>
            <w:tcW w:w="83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12,72</w:t>
            </w:r>
          </w:p>
        </w:tc>
        <w:tc>
          <w:tcPr>
            <w:tcW w:w="767"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4,68</w:t>
            </w:r>
          </w:p>
        </w:tc>
      </w:tr>
      <w:tr>
        <w:trPr>
          <w:trHeight w:val="354" w:hRule="atLeast"/>
        </w:trPr>
        <w:tc>
          <w:tcPr>
            <w:tcW w:w="181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sz w:val="18"/>
                <w:szCs w:val="18"/>
                <w:lang w:eastAsia="lt-LT"/>
              </w:rPr>
            </w:pPr>
            <w:r>
              <w:rPr>
                <w:rFonts w:eastAsia="Times New Roman" w:cs="Times New Roman" w:ascii="Times New Roman" w:hAnsi="Times New Roman"/>
                <w:b/>
                <w:bCs/>
                <w:color w:val="000000"/>
                <w:sz w:val="18"/>
                <w:szCs w:val="18"/>
                <w:lang w:eastAsia="lt-LT"/>
              </w:rPr>
              <w:t>Plastiko</w:t>
            </w:r>
            <w:r>
              <w:rPr>
                <w:rFonts w:eastAsia="Times New Roman" w:cs="Times New Roman" w:ascii="Times New Roman" w:hAnsi="Times New Roman"/>
                <w:color w:val="000000"/>
                <w:sz w:val="18"/>
                <w:szCs w:val="18"/>
                <w:lang w:eastAsia="lt-LT"/>
              </w:rPr>
              <w:t xml:space="preserve"> pakuotės iš kolektyvinių konteinerių</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9,14</w:t>
            </w:r>
          </w:p>
        </w:tc>
        <w:tc>
          <w:tcPr>
            <w:tcW w:w="72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4,38</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9,6</w:t>
            </w:r>
          </w:p>
        </w:tc>
        <w:tc>
          <w:tcPr>
            <w:tcW w:w="81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10,68</w:t>
            </w:r>
          </w:p>
        </w:tc>
        <w:tc>
          <w:tcPr>
            <w:tcW w:w="73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4,94</w:t>
            </w:r>
          </w:p>
        </w:tc>
        <w:tc>
          <w:tcPr>
            <w:tcW w:w="74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10,28</w:t>
            </w:r>
          </w:p>
        </w:tc>
        <w:tc>
          <w:tcPr>
            <w:tcW w:w="603"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10,1</w:t>
            </w:r>
          </w:p>
        </w:tc>
        <w:tc>
          <w:tcPr>
            <w:tcW w:w="885"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80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10,24</w:t>
            </w:r>
          </w:p>
        </w:tc>
        <w:tc>
          <w:tcPr>
            <w:tcW w:w="684"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9,38</w:t>
            </w:r>
          </w:p>
        </w:tc>
        <w:tc>
          <w:tcPr>
            <w:tcW w:w="83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767"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9,34</w:t>
            </w:r>
          </w:p>
        </w:tc>
      </w:tr>
      <w:tr>
        <w:trPr>
          <w:trHeight w:val="354" w:hRule="atLeast"/>
        </w:trPr>
        <w:tc>
          <w:tcPr>
            <w:tcW w:w="181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sz w:val="18"/>
                <w:szCs w:val="18"/>
                <w:lang w:eastAsia="lt-LT"/>
              </w:rPr>
            </w:pPr>
            <w:r>
              <w:rPr>
                <w:rFonts w:eastAsia="Times New Roman" w:cs="Times New Roman" w:ascii="Times New Roman" w:hAnsi="Times New Roman"/>
                <w:b/>
                <w:bCs/>
                <w:color w:val="000000"/>
                <w:sz w:val="18"/>
                <w:szCs w:val="18"/>
                <w:lang w:eastAsia="lt-LT"/>
              </w:rPr>
              <w:t>Popieriaus</w:t>
            </w:r>
            <w:r>
              <w:rPr>
                <w:rFonts w:eastAsia="Times New Roman" w:cs="Times New Roman" w:ascii="Times New Roman" w:hAnsi="Times New Roman"/>
                <w:color w:val="000000"/>
                <w:sz w:val="18"/>
                <w:szCs w:val="18"/>
                <w:lang w:eastAsia="lt-LT"/>
              </w:rPr>
              <w:t xml:space="preserve"> pakuotės iš kolektyvinių konteinerių</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5,48</w:t>
            </w:r>
          </w:p>
        </w:tc>
        <w:tc>
          <w:tcPr>
            <w:tcW w:w="72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6,48</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81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10,16</w:t>
            </w:r>
          </w:p>
        </w:tc>
        <w:tc>
          <w:tcPr>
            <w:tcW w:w="73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5,34</w:t>
            </w:r>
          </w:p>
        </w:tc>
        <w:tc>
          <w:tcPr>
            <w:tcW w:w="74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603"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10,86</w:t>
            </w:r>
          </w:p>
        </w:tc>
        <w:tc>
          <w:tcPr>
            <w:tcW w:w="885"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5</w:t>
            </w:r>
          </w:p>
        </w:tc>
        <w:tc>
          <w:tcPr>
            <w:tcW w:w="80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11,02</w:t>
            </w:r>
          </w:p>
        </w:tc>
        <w:tc>
          <w:tcPr>
            <w:tcW w:w="684"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5,02</w:t>
            </w:r>
          </w:p>
        </w:tc>
        <w:tc>
          <w:tcPr>
            <w:tcW w:w="83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5,7</w:t>
            </w:r>
          </w:p>
        </w:tc>
        <w:tc>
          <w:tcPr>
            <w:tcW w:w="767"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4,44</w:t>
            </w:r>
          </w:p>
        </w:tc>
      </w:tr>
      <w:tr>
        <w:trPr>
          <w:trHeight w:val="354" w:hRule="atLeast"/>
        </w:trPr>
        <w:tc>
          <w:tcPr>
            <w:tcW w:w="181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sz w:val="18"/>
                <w:szCs w:val="18"/>
                <w:lang w:eastAsia="lt-LT"/>
              </w:rPr>
            </w:pPr>
            <w:r>
              <w:rPr>
                <w:rFonts w:eastAsia="Times New Roman" w:cs="Times New Roman" w:ascii="Times New Roman" w:hAnsi="Times New Roman"/>
                <w:b/>
                <w:bCs/>
                <w:color w:val="000000"/>
                <w:sz w:val="18"/>
                <w:szCs w:val="18"/>
                <w:lang w:eastAsia="lt-LT"/>
              </w:rPr>
              <w:t>Plastiko, popieriaus, metalo</w:t>
            </w:r>
            <w:r>
              <w:rPr>
                <w:rFonts w:eastAsia="Times New Roman" w:cs="Times New Roman" w:ascii="Times New Roman" w:hAnsi="Times New Roman"/>
                <w:color w:val="000000"/>
                <w:sz w:val="18"/>
                <w:szCs w:val="18"/>
                <w:lang w:eastAsia="lt-LT"/>
              </w:rPr>
              <w:t xml:space="preserve"> pakuotės iš individualių konteinerių</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17,18</w:t>
            </w:r>
          </w:p>
        </w:tc>
        <w:tc>
          <w:tcPr>
            <w:tcW w:w="72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11,18</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11,26</w:t>
            </w:r>
          </w:p>
        </w:tc>
        <w:tc>
          <w:tcPr>
            <w:tcW w:w="81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10,96</w:t>
            </w:r>
          </w:p>
        </w:tc>
        <w:tc>
          <w:tcPr>
            <w:tcW w:w="73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20,62</w:t>
            </w:r>
          </w:p>
        </w:tc>
        <w:tc>
          <w:tcPr>
            <w:tcW w:w="74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17,38</w:t>
            </w:r>
          </w:p>
        </w:tc>
        <w:tc>
          <w:tcPr>
            <w:tcW w:w="603"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21,98</w:t>
            </w:r>
          </w:p>
        </w:tc>
        <w:tc>
          <w:tcPr>
            <w:tcW w:w="885"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25,16</w:t>
            </w:r>
          </w:p>
        </w:tc>
        <w:tc>
          <w:tcPr>
            <w:tcW w:w="80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19,56</w:t>
            </w:r>
          </w:p>
        </w:tc>
        <w:tc>
          <w:tcPr>
            <w:tcW w:w="684"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20,06</w:t>
            </w:r>
          </w:p>
        </w:tc>
        <w:tc>
          <w:tcPr>
            <w:tcW w:w="83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15,86</w:t>
            </w:r>
          </w:p>
        </w:tc>
        <w:tc>
          <w:tcPr>
            <w:tcW w:w="767"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15,3</w:t>
            </w:r>
          </w:p>
        </w:tc>
      </w:tr>
      <w:tr>
        <w:trPr>
          <w:trHeight w:val="354" w:hRule="atLeast"/>
        </w:trPr>
        <w:tc>
          <w:tcPr>
            <w:tcW w:w="181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sz w:val="18"/>
                <w:szCs w:val="18"/>
                <w:lang w:eastAsia="lt-LT"/>
              </w:rPr>
            </w:pPr>
            <w:r>
              <w:rPr>
                <w:rFonts w:eastAsia="Times New Roman" w:cs="Times New Roman" w:ascii="Times New Roman" w:hAnsi="Times New Roman"/>
                <w:b/>
                <w:bCs/>
                <w:color w:val="000000"/>
                <w:sz w:val="18"/>
                <w:szCs w:val="18"/>
                <w:lang w:eastAsia="lt-LT"/>
              </w:rPr>
              <w:t>Stiklo</w:t>
            </w:r>
            <w:r>
              <w:rPr>
                <w:rFonts w:eastAsia="Times New Roman" w:cs="Times New Roman" w:ascii="Times New Roman" w:hAnsi="Times New Roman"/>
                <w:color w:val="000000"/>
                <w:sz w:val="18"/>
                <w:szCs w:val="18"/>
                <w:lang w:eastAsia="lt-LT"/>
              </w:rPr>
              <w:t xml:space="preserve"> pakuotės iš individualių konteinerių</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72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81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4,68</w:t>
            </w:r>
          </w:p>
        </w:tc>
        <w:tc>
          <w:tcPr>
            <w:tcW w:w="73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68,5</w:t>
            </w:r>
          </w:p>
        </w:tc>
        <w:tc>
          <w:tcPr>
            <w:tcW w:w="749"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603"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885"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808"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684"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62,08</w:t>
            </w:r>
          </w:p>
        </w:tc>
        <w:tc>
          <w:tcPr>
            <w:tcW w:w="836"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c>
          <w:tcPr>
            <w:tcW w:w="767" w:type="dxa"/>
            <w:tcBorders>
              <w:bottom w:val="single" w:sz="4" w:space="0" w:color="000000"/>
              <w:right w:val="single" w:sz="4" w:space="0" w:color="000000"/>
            </w:tcBorders>
            <w:vAlign w:val="bottom"/>
          </w:tcPr>
          <w:p>
            <w:pPr>
              <w:pStyle w:val="Normal"/>
              <w:widowControl w:val="false"/>
              <w:spacing w:lineRule="auto" w:line="240" w:before="0" w:after="0"/>
              <w:jc w:val="right"/>
              <w:rPr>
                <w:rFonts w:ascii="Times New Roman" w:hAnsi="Times New Roman" w:eastAsia="Times New Roman" w:cs="Times New Roman"/>
                <w:color w:val="000000"/>
                <w:sz w:val="18"/>
                <w:szCs w:val="18"/>
                <w:lang w:eastAsia="lt-LT"/>
              </w:rPr>
            </w:pPr>
            <w:r>
              <w:rPr>
                <w:rFonts w:eastAsia="Times New Roman" w:cs="Times New Roman" w:ascii="Times New Roman" w:hAnsi="Times New Roman"/>
                <w:color w:val="000000"/>
                <w:sz w:val="18"/>
                <w:szCs w:val="18"/>
                <w:lang w:eastAsia="lt-LT"/>
              </w:rPr>
              <w:t>0</w:t>
            </w:r>
          </w:p>
        </w:tc>
      </w:tr>
      <w:tr>
        <w:trPr>
          <w:trHeight w:val="354" w:hRule="atLeast"/>
        </w:trPr>
        <w:tc>
          <w:tcPr>
            <w:tcW w:w="181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Iš viso pakuočių per mėnesį t</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44,28</w:t>
            </w:r>
          </w:p>
        </w:tc>
        <w:tc>
          <w:tcPr>
            <w:tcW w:w="729"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36,14</w:t>
            </w:r>
          </w:p>
        </w:tc>
        <w:tc>
          <w:tcPr>
            <w:tcW w:w="652"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20,86</w:t>
            </w:r>
          </w:p>
        </w:tc>
        <w:tc>
          <w:tcPr>
            <w:tcW w:w="816"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45,54</w:t>
            </w:r>
          </w:p>
        </w:tc>
        <w:tc>
          <w:tcPr>
            <w:tcW w:w="738"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107,94</w:t>
            </w:r>
          </w:p>
        </w:tc>
        <w:tc>
          <w:tcPr>
            <w:tcW w:w="749"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40,12</w:t>
            </w:r>
          </w:p>
        </w:tc>
        <w:tc>
          <w:tcPr>
            <w:tcW w:w="603"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56,26</w:t>
            </w:r>
          </w:p>
        </w:tc>
        <w:tc>
          <w:tcPr>
            <w:tcW w:w="885"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39,04</w:t>
            </w:r>
          </w:p>
        </w:tc>
        <w:tc>
          <w:tcPr>
            <w:tcW w:w="808"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49,28</w:t>
            </w:r>
          </w:p>
        </w:tc>
        <w:tc>
          <w:tcPr>
            <w:tcW w:w="684"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109,66</w:t>
            </w:r>
          </w:p>
        </w:tc>
        <w:tc>
          <w:tcPr>
            <w:tcW w:w="836"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34,28</w:t>
            </w:r>
          </w:p>
        </w:tc>
        <w:tc>
          <w:tcPr>
            <w:tcW w:w="767" w:type="dxa"/>
            <w:tcBorders>
              <w:bottom w:val="single" w:sz="4" w:space="0" w:color="000000"/>
              <w:right w:val="single" w:sz="4" w:space="0" w:color="000000"/>
            </w:tcBorders>
            <w:vAlign w:val="bottom"/>
          </w:tcPr>
          <w:p>
            <w:pPr>
              <w:pStyle w:val="Normal"/>
              <w:widowControl w:val="false"/>
              <w:spacing w:lineRule="auto" w:line="240" w:before="0" w:after="0"/>
              <w:jc w:val="center"/>
              <w:rPr>
                <w:rFonts w:ascii="Times New Roman" w:hAnsi="Times New Roman" w:eastAsia="Times New Roman" w:cs="Times New Roman"/>
                <w:b/>
                <w:b/>
                <w:bCs/>
                <w:color w:val="000000"/>
                <w:sz w:val="18"/>
                <w:szCs w:val="18"/>
                <w:lang w:eastAsia="lt-LT"/>
              </w:rPr>
            </w:pPr>
            <w:r>
              <w:rPr>
                <w:rFonts w:eastAsia="Times New Roman" w:cs="Times New Roman" w:ascii="Times New Roman" w:hAnsi="Times New Roman"/>
                <w:b/>
                <w:bCs/>
                <w:color w:val="000000"/>
                <w:sz w:val="18"/>
                <w:szCs w:val="18"/>
                <w:lang w:eastAsia="lt-LT"/>
              </w:rPr>
              <w:t>33,76</w:t>
            </w:r>
          </w:p>
        </w:tc>
      </w:tr>
    </w:tbl>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1134"/>
        <w:rPr>
          <w:rFonts w:ascii="Times New Roman" w:hAnsi="Times New Roman" w:cs="Times New Roman"/>
          <w:b/>
          <w:b/>
          <w:bCs/>
          <w:sz w:val="24"/>
          <w:szCs w:val="24"/>
        </w:rPr>
      </w:pPr>
      <w:r>
        <w:rPr>
          <w:rFonts w:cs="Times New Roman" w:ascii="Times New Roman" w:hAnsi="Times New Roman"/>
          <w:b/>
          <w:bCs/>
          <w:sz w:val="24"/>
          <w:szCs w:val="24"/>
        </w:rPr>
        <w:t>Mišrių komunalinių atliekų surinkimas ir išvežimas</w:t>
      </w:r>
    </w:p>
    <w:p>
      <w:pPr>
        <w:pStyle w:val="Normal"/>
        <w:spacing w:lineRule="auto" w:line="240" w:before="0" w:after="0"/>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 xml:space="preserve">Lietuvoje komunalinių atliekų tvarkymas išlieka reikšminga aplinkosaugos problema, nes didelė dalis atliekų vis dar nėra tinkamai išrūšiuojama, todėl daug perdirbamų ir pakartotinai panaudojamų medžiagų patenka į mišrių atliekų srautą ir vėliau į sąvartynus ar deginimo įrenginius. Tačiau pateikti duomenys rodo teigiamą tendenciją: 2024 metais mišrių komunalinių atliekų buvo surinkta 199,36 tonų mažiau nei 2023 metais, 2025 metais – 135,02 tonų mažiau nei 2024 metais. Tai leidžia daryti išvadą, kad mišrių atliekų kiekis palaipsniui mažėja, tai gali būti siejama su gerėjančiu rūšiavimu, didesniu gyventojų sąmoningumu ir atliekų prevencijos priemonėmis, nors problema vis dar išlieka aktuali. </w:t>
      </w:r>
    </w:p>
    <w:p>
      <w:pPr>
        <w:pStyle w:val="Normal"/>
        <w:spacing w:lineRule="auto" w:line="240" w:before="0" w:after="0"/>
        <w:rPr>
          <w:rFonts w:ascii="Times New Roman" w:hAnsi="Times New Roman" w:cs="Times New Roman"/>
          <w:sz w:val="24"/>
          <w:szCs w:val="24"/>
        </w:rPr>
      </w:pPr>
      <w:r>
        <w:rPr>
          <w:rFonts w:cs="Times New Roman" w:ascii="Times New Roman" w:hAnsi="Times New Roman"/>
          <w:b/>
          <w:bCs/>
          <w:sz w:val="24"/>
          <w:szCs w:val="24"/>
        </w:rPr>
        <w:br/>
        <w:tab/>
      </w:r>
      <w:r>
        <w:rPr/>
        <w:drawing>
          <wp:inline distT="0" distB="0" distL="0" distR="0">
            <wp:extent cx="4572000" cy="2743200"/>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pStyle w:val="Normal"/>
        <w:spacing w:lineRule="auto" w:line="240" w:before="0" w:after="0"/>
        <w:ind w:left="1418" w:hanging="142"/>
        <w:jc w:val="both"/>
        <w:rPr>
          <w:rFonts w:ascii="Times New Roman" w:hAnsi="Times New Roman" w:cs="Times New Roman"/>
          <w:sz w:val="24"/>
          <w:szCs w:val="24"/>
        </w:rPr>
      </w:pPr>
      <w:r>
        <w:rPr>
          <w:rFonts w:cs="Times New Roman" w:ascii="Times New Roman" w:hAnsi="Times New Roman"/>
          <w:sz w:val="24"/>
          <w:szCs w:val="24"/>
        </w:rPr>
        <w:t xml:space="preserve">2 pav. </w:t>
      </w:r>
      <w:r>
        <w:rPr>
          <w:rFonts w:cs="Times New Roman" w:ascii="Times New Roman" w:hAnsi="Times New Roman"/>
        </w:rPr>
        <w:t>Mišrios komunalinės atliekos 2022–2025 m.</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bookmarkStart w:id="3" w:name="_GoBack"/>
      <w:bookmarkEnd w:id="3"/>
      <w:r>
        <w:rPr>
          <w:rFonts w:cs="Times New Roman" w:ascii="Times New Roman" w:hAnsi="Times New Roman"/>
          <w:sz w:val="24"/>
          <w:szCs w:val="24"/>
        </w:rPr>
        <w:t>2025 metais atliekos vežamos į URATC kas mėnesį</w:t>
      </w:r>
    </w:p>
    <w:tbl>
      <w:tblPr>
        <w:tblStyle w:val="Lentelstinklelis"/>
        <w:tblW w:w="10762" w:type="dxa"/>
        <w:jc w:val="left"/>
        <w:tblInd w:w="-856" w:type="dxa"/>
        <w:tblLayout w:type="fixed"/>
        <w:tblCellMar>
          <w:top w:w="0" w:type="dxa"/>
          <w:left w:w="108" w:type="dxa"/>
          <w:bottom w:w="0" w:type="dxa"/>
          <w:right w:w="108" w:type="dxa"/>
        </w:tblCellMar>
        <w:tblLook w:firstRow="0" w:noVBand="0" w:lastRow="0" w:firstColumn="0" w:lastColumn="0" w:noHBand="0" w:val="0000"/>
      </w:tblPr>
      <w:tblGrid>
        <w:gridCol w:w="841"/>
        <w:gridCol w:w="711"/>
        <w:gridCol w:w="796"/>
        <w:gridCol w:w="794"/>
        <w:gridCol w:w="878"/>
        <w:gridCol w:w="797"/>
        <w:gridCol w:w="806"/>
        <w:gridCol w:w="795"/>
        <w:gridCol w:w="953"/>
        <w:gridCol w:w="869"/>
        <w:gridCol w:w="794"/>
        <w:gridCol w:w="901"/>
        <w:gridCol w:w="826"/>
      </w:tblGrid>
      <w:tr>
        <w:trPr>
          <w:trHeight w:val="374" w:hRule="atLeast"/>
        </w:trPr>
        <w:tc>
          <w:tcPr>
            <w:tcW w:w="10761" w:type="dxa"/>
            <w:gridSpan w:val="13"/>
            <w:tcBorders>
              <w:bottom w:val="nil"/>
            </w:tcBorders>
            <w:vAlign w:val="center"/>
          </w:tcPr>
          <w:p>
            <w:pPr>
              <w:pStyle w:val="Normal"/>
              <w:widowControl/>
              <w:spacing w:lineRule="auto" w:line="240" w:before="0" w:after="0"/>
              <w:jc w:val="center"/>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Mišrios komunalinės atliekos 20 03 01</w:t>
            </w:r>
          </w:p>
        </w:tc>
      </w:tr>
      <w:tr>
        <w:trPr>
          <w:trHeight w:val="477" w:hRule="atLeast"/>
        </w:trPr>
        <w:tc>
          <w:tcPr>
            <w:tcW w:w="84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Mėnuo</w:t>
            </w:r>
          </w:p>
        </w:tc>
        <w:tc>
          <w:tcPr>
            <w:tcW w:w="71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Sausis</w:t>
            </w:r>
          </w:p>
        </w:tc>
        <w:tc>
          <w:tcPr>
            <w:tcW w:w="79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Vasaris</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Kovas</w:t>
            </w:r>
          </w:p>
        </w:tc>
        <w:tc>
          <w:tcPr>
            <w:tcW w:w="878"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Balandis</w:t>
            </w:r>
          </w:p>
        </w:tc>
        <w:tc>
          <w:tcPr>
            <w:tcW w:w="797"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Gegužė</w:t>
            </w:r>
          </w:p>
        </w:tc>
        <w:tc>
          <w:tcPr>
            <w:tcW w:w="80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Birželis</w:t>
            </w:r>
          </w:p>
        </w:tc>
        <w:tc>
          <w:tcPr>
            <w:tcW w:w="795"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Liepa</w:t>
            </w:r>
          </w:p>
        </w:tc>
        <w:tc>
          <w:tcPr>
            <w:tcW w:w="953"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Rugpjūtis</w:t>
            </w:r>
          </w:p>
        </w:tc>
        <w:tc>
          <w:tcPr>
            <w:tcW w:w="869"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Rugsėjis</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Spalis</w:t>
            </w:r>
          </w:p>
        </w:tc>
        <w:tc>
          <w:tcPr>
            <w:tcW w:w="90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Lapkritis</w:t>
            </w:r>
          </w:p>
        </w:tc>
        <w:tc>
          <w:tcPr>
            <w:tcW w:w="82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Gruodis</w:t>
            </w:r>
          </w:p>
        </w:tc>
      </w:tr>
      <w:tr>
        <w:trPr>
          <w:trHeight w:val="477" w:hRule="atLeast"/>
        </w:trPr>
        <w:tc>
          <w:tcPr>
            <w:tcW w:w="84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Kiekis t</w:t>
            </w:r>
          </w:p>
        </w:tc>
        <w:tc>
          <w:tcPr>
            <w:tcW w:w="711"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197,72</w:t>
            </w:r>
          </w:p>
        </w:tc>
        <w:tc>
          <w:tcPr>
            <w:tcW w:w="796"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148,66</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181,12</w:t>
            </w:r>
          </w:p>
        </w:tc>
        <w:tc>
          <w:tcPr>
            <w:tcW w:w="878"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205,08</w:t>
            </w:r>
          </w:p>
        </w:tc>
        <w:tc>
          <w:tcPr>
            <w:tcW w:w="797"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206,34</w:t>
            </w:r>
          </w:p>
        </w:tc>
        <w:tc>
          <w:tcPr>
            <w:tcW w:w="806"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223,1</w:t>
            </w:r>
          </w:p>
        </w:tc>
        <w:tc>
          <w:tcPr>
            <w:tcW w:w="795"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249,16</w:t>
            </w:r>
          </w:p>
        </w:tc>
        <w:tc>
          <w:tcPr>
            <w:tcW w:w="953"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251,56</w:t>
            </w:r>
          </w:p>
        </w:tc>
        <w:tc>
          <w:tcPr>
            <w:tcW w:w="869"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222,54</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220,32</w:t>
            </w:r>
          </w:p>
        </w:tc>
        <w:tc>
          <w:tcPr>
            <w:tcW w:w="90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186,14</w:t>
            </w:r>
          </w:p>
        </w:tc>
        <w:tc>
          <w:tcPr>
            <w:tcW w:w="82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184,18</w:t>
            </w:r>
          </w:p>
        </w:tc>
      </w:tr>
    </w:tbl>
    <w:p>
      <w:pPr>
        <w:pStyle w:val="Normal"/>
        <w:spacing w:lineRule="auto" w:line="240" w:before="0" w:after="0"/>
        <w:jc w:val="center"/>
        <w:rPr>
          <w:rFonts w:ascii="Times New Roman" w:hAnsi="Times New Roman" w:cs="Times New Roman"/>
          <w:sz w:val="18"/>
          <w:szCs w:val="18"/>
        </w:rPr>
      </w:pPr>
      <w:r>
        <w:rPr>
          <w:rFonts w:cs="Times New Roman" w:ascii="Times New Roman" w:hAnsi="Times New Roman"/>
          <w:sz w:val="18"/>
          <w:szCs w:val="18"/>
        </w:rPr>
      </w:r>
    </w:p>
    <w:tbl>
      <w:tblPr>
        <w:tblStyle w:val="Lentelstinklelis"/>
        <w:tblW w:w="10762" w:type="dxa"/>
        <w:jc w:val="left"/>
        <w:tblInd w:w="-856" w:type="dxa"/>
        <w:tblLayout w:type="fixed"/>
        <w:tblCellMar>
          <w:top w:w="0" w:type="dxa"/>
          <w:left w:w="108" w:type="dxa"/>
          <w:bottom w:w="0" w:type="dxa"/>
          <w:right w:w="108" w:type="dxa"/>
        </w:tblCellMar>
        <w:tblLook w:firstRow="0" w:noVBand="0" w:lastRow="0" w:firstColumn="0" w:lastColumn="0" w:noHBand="0" w:val="0000"/>
      </w:tblPr>
      <w:tblGrid>
        <w:gridCol w:w="841"/>
        <w:gridCol w:w="711"/>
        <w:gridCol w:w="796"/>
        <w:gridCol w:w="794"/>
        <w:gridCol w:w="878"/>
        <w:gridCol w:w="797"/>
        <w:gridCol w:w="806"/>
        <w:gridCol w:w="795"/>
        <w:gridCol w:w="953"/>
        <w:gridCol w:w="869"/>
        <w:gridCol w:w="794"/>
        <w:gridCol w:w="901"/>
        <w:gridCol w:w="826"/>
      </w:tblGrid>
      <w:tr>
        <w:trPr>
          <w:trHeight w:val="374" w:hRule="atLeast"/>
        </w:trPr>
        <w:tc>
          <w:tcPr>
            <w:tcW w:w="10761" w:type="dxa"/>
            <w:gridSpan w:val="13"/>
            <w:tcBorders>
              <w:bottom w:val="nil"/>
            </w:tcBorders>
            <w:vAlign w:val="center"/>
          </w:tcPr>
          <w:p>
            <w:pPr>
              <w:pStyle w:val="Normal"/>
              <w:widowControl/>
              <w:spacing w:lineRule="auto" w:line="240" w:before="0" w:after="0"/>
              <w:jc w:val="center"/>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Biologiškai skaidžios virtuvių ir valgyklų atliekos 20 01 08</w:t>
            </w:r>
          </w:p>
        </w:tc>
      </w:tr>
      <w:tr>
        <w:trPr>
          <w:trHeight w:val="477" w:hRule="atLeast"/>
        </w:trPr>
        <w:tc>
          <w:tcPr>
            <w:tcW w:w="84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Mėnuo</w:t>
            </w:r>
          </w:p>
        </w:tc>
        <w:tc>
          <w:tcPr>
            <w:tcW w:w="71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Sausis</w:t>
            </w:r>
          </w:p>
        </w:tc>
        <w:tc>
          <w:tcPr>
            <w:tcW w:w="79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Vasaris</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Kovas</w:t>
            </w:r>
          </w:p>
        </w:tc>
        <w:tc>
          <w:tcPr>
            <w:tcW w:w="878"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Balandis</w:t>
            </w:r>
          </w:p>
        </w:tc>
        <w:tc>
          <w:tcPr>
            <w:tcW w:w="797"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Gegužė</w:t>
            </w:r>
          </w:p>
        </w:tc>
        <w:tc>
          <w:tcPr>
            <w:tcW w:w="80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Birželis</w:t>
            </w:r>
          </w:p>
        </w:tc>
        <w:tc>
          <w:tcPr>
            <w:tcW w:w="795"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Liepa</w:t>
            </w:r>
          </w:p>
        </w:tc>
        <w:tc>
          <w:tcPr>
            <w:tcW w:w="953"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Rugpjūtis</w:t>
            </w:r>
          </w:p>
        </w:tc>
        <w:tc>
          <w:tcPr>
            <w:tcW w:w="869"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Rugsėjis</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Spalis</w:t>
            </w:r>
          </w:p>
        </w:tc>
        <w:tc>
          <w:tcPr>
            <w:tcW w:w="90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Lapkritis</w:t>
            </w:r>
          </w:p>
        </w:tc>
        <w:tc>
          <w:tcPr>
            <w:tcW w:w="82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Gruodis</w:t>
            </w:r>
          </w:p>
        </w:tc>
      </w:tr>
      <w:tr>
        <w:trPr>
          <w:trHeight w:val="477" w:hRule="atLeast"/>
        </w:trPr>
        <w:tc>
          <w:tcPr>
            <w:tcW w:w="84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Kiekis t</w:t>
            </w:r>
          </w:p>
        </w:tc>
        <w:tc>
          <w:tcPr>
            <w:tcW w:w="711"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3,08</w:t>
            </w:r>
          </w:p>
        </w:tc>
        <w:tc>
          <w:tcPr>
            <w:tcW w:w="796"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4,46</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6,2</w:t>
            </w:r>
          </w:p>
        </w:tc>
        <w:tc>
          <w:tcPr>
            <w:tcW w:w="878"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4,74</w:t>
            </w:r>
          </w:p>
        </w:tc>
        <w:tc>
          <w:tcPr>
            <w:tcW w:w="797"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4,9</w:t>
            </w:r>
          </w:p>
        </w:tc>
        <w:tc>
          <w:tcPr>
            <w:tcW w:w="806"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4,8</w:t>
            </w:r>
          </w:p>
        </w:tc>
        <w:tc>
          <w:tcPr>
            <w:tcW w:w="795"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4,62</w:t>
            </w:r>
          </w:p>
        </w:tc>
        <w:tc>
          <w:tcPr>
            <w:tcW w:w="953"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4,38</w:t>
            </w:r>
          </w:p>
        </w:tc>
        <w:tc>
          <w:tcPr>
            <w:tcW w:w="869"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6,34</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7,36</w:t>
            </w:r>
          </w:p>
        </w:tc>
        <w:tc>
          <w:tcPr>
            <w:tcW w:w="90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5,78</w:t>
            </w:r>
          </w:p>
        </w:tc>
        <w:tc>
          <w:tcPr>
            <w:tcW w:w="82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3,4</w:t>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Lentelstinklelis"/>
        <w:tblW w:w="10762" w:type="dxa"/>
        <w:jc w:val="left"/>
        <w:tblInd w:w="-856" w:type="dxa"/>
        <w:tblLayout w:type="fixed"/>
        <w:tblCellMar>
          <w:top w:w="0" w:type="dxa"/>
          <w:left w:w="108" w:type="dxa"/>
          <w:bottom w:w="0" w:type="dxa"/>
          <w:right w:w="108" w:type="dxa"/>
        </w:tblCellMar>
        <w:tblLook w:firstRow="0" w:noVBand="0" w:lastRow="0" w:firstColumn="0" w:lastColumn="0" w:noHBand="0" w:val="0000"/>
      </w:tblPr>
      <w:tblGrid>
        <w:gridCol w:w="841"/>
        <w:gridCol w:w="711"/>
        <w:gridCol w:w="796"/>
        <w:gridCol w:w="794"/>
        <w:gridCol w:w="878"/>
        <w:gridCol w:w="797"/>
        <w:gridCol w:w="806"/>
        <w:gridCol w:w="795"/>
        <w:gridCol w:w="953"/>
        <w:gridCol w:w="869"/>
        <w:gridCol w:w="794"/>
        <w:gridCol w:w="901"/>
        <w:gridCol w:w="826"/>
      </w:tblGrid>
      <w:tr>
        <w:trPr>
          <w:trHeight w:val="374" w:hRule="atLeast"/>
        </w:trPr>
        <w:tc>
          <w:tcPr>
            <w:tcW w:w="10761" w:type="dxa"/>
            <w:gridSpan w:val="13"/>
            <w:tcBorders>
              <w:bottom w:val="nil"/>
            </w:tcBorders>
            <w:vAlign w:val="center"/>
          </w:tcPr>
          <w:p>
            <w:pPr>
              <w:pStyle w:val="Normal"/>
              <w:widowControl/>
              <w:spacing w:lineRule="auto" w:line="240" w:before="0" w:after="0"/>
              <w:jc w:val="center"/>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Tekstilės gaminiai 19 12 08</w:t>
            </w:r>
          </w:p>
        </w:tc>
      </w:tr>
      <w:tr>
        <w:trPr>
          <w:trHeight w:val="477" w:hRule="atLeast"/>
        </w:trPr>
        <w:tc>
          <w:tcPr>
            <w:tcW w:w="84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Mėnuo</w:t>
            </w:r>
          </w:p>
        </w:tc>
        <w:tc>
          <w:tcPr>
            <w:tcW w:w="71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Sausis</w:t>
            </w:r>
          </w:p>
        </w:tc>
        <w:tc>
          <w:tcPr>
            <w:tcW w:w="79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Vasaris</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Kovas</w:t>
            </w:r>
          </w:p>
        </w:tc>
        <w:tc>
          <w:tcPr>
            <w:tcW w:w="878"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Balandis</w:t>
            </w:r>
          </w:p>
        </w:tc>
        <w:tc>
          <w:tcPr>
            <w:tcW w:w="797"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Gegužė</w:t>
            </w:r>
          </w:p>
        </w:tc>
        <w:tc>
          <w:tcPr>
            <w:tcW w:w="80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Birželis</w:t>
            </w:r>
          </w:p>
        </w:tc>
        <w:tc>
          <w:tcPr>
            <w:tcW w:w="795"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Liepa</w:t>
            </w:r>
          </w:p>
        </w:tc>
        <w:tc>
          <w:tcPr>
            <w:tcW w:w="953"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Rugpjūtis</w:t>
            </w:r>
          </w:p>
        </w:tc>
        <w:tc>
          <w:tcPr>
            <w:tcW w:w="869"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Rugsėjis</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Spalis</w:t>
            </w:r>
          </w:p>
        </w:tc>
        <w:tc>
          <w:tcPr>
            <w:tcW w:w="90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Lapkritis</w:t>
            </w:r>
          </w:p>
        </w:tc>
        <w:tc>
          <w:tcPr>
            <w:tcW w:w="82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Gruodis</w:t>
            </w:r>
          </w:p>
        </w:tc>
      </w:tr>
      <w:tr>
        <w:trPr>
          <w:trHeight w:val="477" w:hRule="atLeast"/>
        </w:trPr>
        <w:tc>
          <w:tcPr>
            <w:tcW w:w="84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Kiekis t</w:t>
            </w:r>
          </w:p>
        </w:tc>
        <w:tc>
          <w:tcPr>
            <w:tcW w:w="711"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2,96</w:t>
            </w:r>
          </w:p>
        </w:tc>
        <w:tc>
          <w:tcPr>
            <w:tcW w:w="796"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2,56</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5,06</w:t>
            </w:r>
          </w:p>
        </w:tc>
        <w:tc>
          <w:tcPr>
            <w:tcW w:w="878"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6,46</w:t>
            </w:r>
          </w:p>
        </w:tc>
        <w:tc>
          <w:tcPr>
            <w:tcW w:w="797"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5,72</w:t>
            </w:r>
          </w:p>
        </w:tc>
        <w:tc>
          <w:tcPr>
            <w:tcW w:w="806"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5,72</w:t>
            </w:r>
          </w:p>
        </w:tc>
        <w:tc>
          <w:tcPr>
            <w:tcW w:w="795"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11,36</w:t>
            </w:r>
          </w:p>
        </w:tc>
        <w:tc>
          <w:tcPr>
            <w:tcW w:w="953" w:type="dxa"/>
            <w:tcBorders>
              <w:top w:val="nil"/>
            </w:tcBorders>
            <w:vAlign w:val="center"/>
          </w:tcPr>
          <w:p>
            <w:pPr>
              <w:pStyle w:val="Normal"/>
              <w:widowControl/>
              <w:spacing w:lineRule="auto" w:line="240" w:before="0" w:after="0"/>
              <w:jc w:val="left"/>
              <w:rPr>
                <w:rFonts w:ascii="Times New Roman" w:hAnsi="Times New Roman" w:cs="Times New Roman"/>
                <w:color w:val="000000"/>
                <w:sz w:val="18"/>
                <w:szCs w:val="18"/>
              </w:rPr>
            </w:pPr>
            <w:r>
              <w:rPr>
                <w:rFonts w:eastAsia="Calibri" w:cs="Times New Roman" w:ascii="Times New Roman" w:hAnsi="Times New Roman"/>
                <w:color w:val="000000"/>
                <w:sz w:val="18"/>
                <w:szCs w:val="18"/>
                <w:lang w:val="lt-LT" w:eastAsia="en-US" w:bidi="ar-SA"/>
              </w:rPr>
              <w:t>8,84</w:t>
            </w:r>
          </w:p>
        </w:tc>
        <w:tc>
          <w:tcPr>
            <w:tcW w:w="869"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6,74</w:t>
            </w:r>
          </w:p>
        </w:tc>
        <w:tc>
          <w:tcPr>
            <w:tcW w:w="794"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5,34</w:t>
            </w:r>
          </w:p>
        </w:tc>
        <w:tc>
          <w:tcPr>
            <w:tcW w:w="901"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3,48</w:t>
            </w:r>
          </w:p>
        </w:tc>
        <w:tc>
          <w:tcPr>
            <w:tcW w:w="826" w:type="dxa"/>
            <w:tcBorders>
              <w:top w:val="nil"/>
            </w:tcBorders>
            <w:vAlign w:val="center"/>
          </w:tcPr>
          <w:p>
            <w:pPr>
              <w:pStyle w:val="Normal"/>
              <w:widowControl/>
              <w:spacing w:lineRule="auto" w:line="240" w:before="0" w:after="0"/>
              <w:jc w:val="left"/>
              <w:rPr>
                <w:rFonts w:ascii="Times New Roman" w:hAnsi="Times New Roman" w:cs="Times New Roman"/>
                <w:sz w:val="18"/>
                <w:szCs w:val="18"/>
              </w:rPr>
            </w:pPr>
            <w:r>
              <w:rPr>
                <w:rFonts w:eastAsia="Calibri" w:cs="Times New Roman" w:ascii="Times New Roman" w:hAnsi="Times New Roman"/>
                <w:sz w:val="18"/>
                <w:szCs w:val="18"/>
                <w:lang w:val="lt-LT" w:eastAsia="en-US" w:bidi="ar-SA"/>
              </w:rPr>
              <w:t>9,32</w:t>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2025 metais į URATC buvo surinkta ir nuvežta 2627,22 t atliekų. Kitos atliekos, kurios nėra surenkamos apvažiavimo būdu, gyventojų yra pristatomos į didelių gabaritų atliekų surinkimo aikšteles (DGASA). Ignalinos rajone veikia dvi tokios aikštelės – Ignalinos mieste ir Kaniūkų kaime. 2025 metais į šias aikšteles buvo pristatyta iš viso 835,064 t šių atliekų:</w:t>
      </w:r>
    </w:p>
    <w:p>
      <w:pPr>
        <w:pStyle w:val="Normal"/>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DGASA kiekiai</w:t>
      </w:r>
    </w:p>
    <w:tbl>
      <w:tblPr>
        <w:tblStyle w:val="Lentelstinklelis"/>
        <w:tblW w:w="9492" w:type="dxa"/>
        <w:jc w:val="left"/>
        <w:tblInd w:w="-431" w:type="dxa"/>
        <w:tblLayout w:type="fixed"/>
        <w:tblCellMar>
          <w:top w:w="0" w:type="dxa"/>
          <w:left w:w="108" w:type="dxa"/>
          <w:bottom w:w="0" w:type="dxa"/>
          <w:right w:w="108" w:type="dxa"/>
        </w:tblCellMar>
        <w:tblLook w:firstRow="1" w:noVBand="1" w:lastRow="0" w:firstColumn="1" w:lastColumn="0" w:noHBand="0" w:val="04a0"/>
      </w:tblPr>
      <w:tblGrid>
        <w:gridCol w:w="4678"/>
        <w:gridCol w:w="1701"/>
        <w:gridCol w:w="1560"/>
        <w:gridCol w:w="1552"/>
      </w:tblGrid>
      <w:tr>
        <w:trPr/>
        <w:tc>
          <w:tcPr>
            <w:tcW w:w="4678"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sz w:val="24"/>
                <w:szCs w:val="24"/>
                <w:lang w:val="lt-LT" w:eastAsia="en-US" w:bidi="ar-SA"/>
              </w:rPr>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Ignalinos m.</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Kaniūkų k.</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Iš viso tonų</w:t>
            </w:r>
          </w:p>
        </w:tc>
      </w:tr>
      <w:tr>
        <w:trPr/>
        <w:tc>
          <w:tcPr>
            <w:tcW w:w="4678" w:type="dxa"/>
            <w:tcBorders/>
          </w:tcPr>
          <w:p>
            <w:pPr>
              <w:pStyle w:val="Normal"/>
              <w:widowControl/>
              <w:spacing w:lineRule="auto" w:line="240" w:before="0" w:after="0"/>
              <w:jc w:val="left"/>
              <w:rPr>
                <w:rFonts w:ascii="Times New Roman" w:hAnsi="Times New Roman" w:cs="Times New Roman"/>
                <w:color w:val="000000"/>
                <w:sz w:val="20"/>
                <w:szCs w:val="20"/>
                <w14:ligatures w14:val="standardContextual"/>
              </w:rPr>
            </w:pPr>
            <w:r>
              <w:rPr>
                <w:rFonts w:eastAsia="Calibri" w:cs="Times New Roman" w:ascii="Times New Roman" w:hAnsi="Times New Roman"/>
                <w:color w:val="000000"/>
                <w:sz w:val="20"/>
                <w:szCs w:val="20"/>
                <w:lang w:val="lt-LT" w:eastAsia="en-US" w:bidi="ar-SA"/>
                <w14:ligatures w14:val="standardContextual"/>
              </w:rPr>
              <w:t>Mišrios statybinės ir griovimo atliekos 17 09 04R</w:t>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141,095</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33,89</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174,985</w:t>
            </w:r>
          </w:p>
        </w:tc>
      </w:tr>
      <w:tr>
        <w:trPr/>
        <w:tc>
          <w:tcPr>
            <w:tcW w:w="4678"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ascii="Times New Roman" w:hAnsi="Times New Roman"/>
                <w:color w:val="000000"/>
                <w:sz w:val="20"/>
                <w:szCs w:val="20"/>
                <w:lang w:val="lt-LT" w:eastAsia="en-US" w:bidi="ar-SA"/>
                <w14:ligatures w14:val="standardContextual"/>
              </w:rPr>
              <w:t>Statybinės medžiagos, turinčios asbesto 17 06 05R</w:t>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86,682</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44,08</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130,762</w:t>
            </w:r>
          </w:p>
        </w:tc>
      </w:tr>
      <w:tr>
        <w:trPr/>
        <w:tc>
          <w:tcPr>
            <w:tcW w:w="4678"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ascii="Times New Roman" w:hAnsi="Times New Roman"/>
                <w:color w:val="000000"/>
                <w:sz w:val="20"/>
                <w:szCs w:val="20"/>
                <w:lang w:val="lt-LT" w:eastAsia="en-US" w:bidi="ar-SA"/>
                <w14:ligatures w14:val="standardContextual"/>
              </w:rPr>
              <w:t>Plastikai (netinkami perdirbti) 20 01 39R</w:t>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73,38</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21,66</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95,04</w:t>
            </w:r>
          </w:p>
        </w:tc>
      </w:tr>
      <w:tr>
        <w:trPr/>
        <w:tc>
          <w:tcPr>
            <w:tcW w:w="4678"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ascii="Times New Roman" w:hAnsi="Times New Roman"/>
                <w:color w:val="000000"/>
                <w:sz w:val="20"/>
                <w:szCs w:val="20"/>
                <w:lang w:val="lt-LT" w:eastAsia="en-US" w:bidi="ar-SA"/>
                <w14:ligatures w14:val="standardContextual"/>
              </w:rPr>
              <w:t>Mediena 20 01 38R</w:t>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90,092</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28,675</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118,767</w:t>
            </w:r>
          </w:p>
        </w:tc>
      </w:tr>
      <w:tr>
        <w:trPr/>
        <w:tc>
          <w:tcPr>
            <w:tcW w:w="4678"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ascii="Times New Roman" w:hAnsi="Times New Roman"/>
                <w:color w:val="000000"/>
                <w:sz w:val="20"/>
                <w:szCs w:val="20"/>
                <w:lang w:val="lt-LT" w:eastAsia="en-US" w:bidi="ar-SA"/>
                <w14:ligatures w14:val="standardContextual"/>
              </w:rPr>
              <w:t>Didelių gabaritų atliekos 20 03 07R</w:t>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34,55</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10,765</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45,315</w:t>
            </w:r>
          </w:p>
        </w:tc>
      </w:tr>
      <w:tr>
        <w:trPr/>
        <w:tc>
          <w:tcPr>
            <w:tcW w:w="4678"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ascii="Times New Roman" w:hAnsi="Times New Roman"/>
                <w:color w:val="000000"/>
                <w:sz w:val="20"/>
                <w:szCs w:val="20"/>
                <w:lang w:val="lt-LT" w:eastAsia="en-US" w:bidi="ar-SA"/>
                <w14:ligatures w14:val="standardContextual"/>
              </w:rPr>
              <w:t>Tekstilės atliekos 20 01 11R</w:t>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0,305</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0,37</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0,675</w:t>
            </w:r>
          </w:p>
        </w:tc>
      </w:tr>
      <w:tr>
        <w:trPr/>
        <w:tc>
          <w:tcPr>
            <w:tcW w:w="4678"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ascii="Times New Roman" w:hAnsi="Times New Roman"/>
                <w:color w:val="000000"/>
                <w:sz w:val="20"/>
                <w:szCs w:val="20"/>
                <w:lang w:val="lt-LT" w:eastAsia="en-US" w:bidi="ar-SA"/>
                <w14:ligatures w14:val="standardContextual"/>
              </w:rPr>
              <w:t>Biologiškai suyrančios 20 02 01*R</w:t>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269,5</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0,00</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269,5</w:t>
            </w:r>
          </w:p>
        </w:tc>
      </w:tr>
      <w:tr>
        <w:trPr/>
        <w:tc>
          <w:tcPr>
            <w:tcW w:w="4678"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ascii="Times New Roman" w:hAnsi="Times New Roman"/>
                <w:color w:val="000000"/>
                <w:sz w:val="20"/>
                <w:szCs w:val="20"/>
                <w:lang w:val="lt-LT" w:eastAsia="en-US" w:bidi="ar-SA"/>
                <w14:ligatures w14:val="standardContextual"/>
              </w:rPr>
              <w:t>Stiklo pakuotės 15 01 07R</w:t>
            </w:r>
          </w:p>
        </w:tc>
        <w:tc>
          <w:tcPr>
            <w:tcW w:w="170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0,00</w:t>
            </w:r>
          </w:p>
        </w:tc>
        <w:tc>
          <w:tcPr>
            <w:tcW w:w="156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0,02</w:t>
            </w:r>
          </w:p>
        </w:tc>
        <w:tc>
          <w:tcPr>
            <w:tcW w:w="15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ascii="Times New Roman" w:hAnsi="Times New Roman"/>
                <w:sz w:val="20"/>
                <w:szCs w:val="20"/>
                <w:lang w:val="lt-LT" w:eastAsia="en-US" w:bidi="ar-SA"/>
              </w:rPr>
              <w:t>0,02</w:t>
            </w:r>
          </w:p>
        </w:tc>
      </w:tr>
    </w:tbl>
    <w:p>
      <w:pPr>
        <w:pStyle w:val="Normal"/>
        <w:spacing w:lineRule="auto" w:line="240" w:before="0" w:after="0"/>
        <w:jc w:val="center"/>
        <w:rPr>
          <w:rFonts w:ascii="Times New Roman" w:hAnsi="Times New Roman" w:eastAsia="Times New Roman" w:cs="Times New Roman"/>
          <w:b/>
          <w:b/>
          <w:bCs/>
          <w:color w:val="000000" w:themeColor="text1"/>
          <w:sz w:val="24"/>
          <w:szCs w:val="24"/>
          <w:lang w:eastAsia="lt-LT"/>
        </w:rPr>
      </w:pPr>
      <w:r>
        <w:rPr>
          <w:rFonts w:eastAsia="Times New Roman" w:cs="Times New Roman" w:ascii="Times New Roman" w:hAnsi="Times New Roman"/>
          <w:b/>
          <w:bCs/>
          <w:color w:val="000000" w:themeColor="text1"/>
          <w:sz w:val="24"/>
          <w:szCs w:val="24"/>
          <w:lang w:eastAsia="lt-LT"/>
        </w:rPr>
      </w:r>
    </w:p>
    <w:p>
      <w:pPr>
        <w:pStyle w:val="Normal"/>
        <w:spacing w:lineRule="auto" w:line="240" w:before="0" w:after="0"/>
        <w:ind w:firstLine="1134"/>
        <w:rPr>
          <w:rFonts w:ascii="Times New Roman" w:hAnsi="Times New Roman" w:eastAsia="Times New Roman" w:cs="Times New Roman"/>
          <w:b/>
          <w:b/>
          <w:bCs/>
          <w:color w:val="000000" w:themeColor="text1"/>
          <w:sz w:val="24"/>
          <w:szCs w:val="24"/>
          <w:lang w:eastAsia="lt-LT"/>
        </w:rPr>
      </w:pPr>
      <w:r>
        <w:rPr>
          <w:rFonts w:eastAsia="Times New Roman" w:cs="Times New Roman" w:ascii="Times New Roman" w:hAnsi="Times New Roman"/>
          <w:b/>
          <w:bCs/>
          <w:color w:val="000000" w:themeColor="text1"/>
          <w:sz w:val="24"/>
          <w:szCs w:val="24"/>
          <w:lang w:eastAsia="lt-LT"/>
        </w:rPr>
        <w:t>Fizinių asmenų sutartys</w:t>
      </w:r>
    </w:p>
    <w:p>
      <w:pPr>
        <w:pStyle w:val="Normal"/>
        <w:spacing w:lineRule="auto" w:line="240" w:before="0" w:after="0"/>
        <w:rPr>
          <w:rFonts w:ascii="Times New Roman" w:hAnsi="Times New Roman" w:eastAsia="Times New Roman" w:cs="Times New Roman"/>
          <w:b/>
          <w:b/>
          <w:bCs/>
          <w:color w:val="FF0000"/>
          <w:sz w:val="24"/>
          <w:szCs w:val="24"/>
          <w:lang w:eastAsia="lt-LT"/>
        </w:rPr>
      </w:pPr>
      <w:r>
        <w:rPr>
          <w:rFonts w:eastAsia="Times New Roman" w:cs="Times New Roman" w:ascii="Times New Roman" w:hAnsi="Times New Roman"/>
          <w:b/>
          <w:bCs/>
          <w:color w:val="FF0000"/>
          <w:sz w:val="24"/>
          <w:szCs w:val="24"/>
          <w:lang w:eastAsia="lt-LT"/>
        </w:rPr>
      </w:r>
    </w:p>
    <w:p>
      <w:pPr>
        <w:pStyle w:val="Normal"/>
        <w:spacing w:lineRule="auto" w:line="240" w:before="0" w:after="0"/>
        <w:jc w:val="center"/>
        <w:rPr>
          <w:rFonts w:ascii="Times New Roman" w:hAnsi="Times New Roman" w:eastAsia="Times New Roman" w:cs="Times New Roman"/>
          <w:color w:val="000000" w:themeColor="text1"/>
          <w:sz w:val="24"/>
          <w:szCs w:val="24"/>
          <w:lang w:eastAsia="lt-LT"/>
        </w:rPr>
      </w:pPr>
      <w:r>
        <w:rPr>
          <w:rFonts w:eastAsia="Times New Roman" w:cs="Times New Roman" w:ascii="Times New Roman" w:hAnsi="Times New Roman"/>
          <w:color w:val="000000" w:themeColor="text1"/>
          <w:sz w:val="24"/>
          <w:szCs w:val="24"/>
          <w:lang w:eastAsia="lt-LT"/>
        </w:rPr>
        <w:t xml:space="preserve"> </w:t>
      </w:r>
      <w:r>
        <w:rPr>
          <w:rFonts w:eastAsia="Times New Roman" w:cs="Times New Roman" w:ascii="Times New Roman" w:hAnsi="Times New Roman"/>
          <w:color w:val="000000" w:themeColor="text1"/>
          <w:sz w:val="24"/>
          <w:szCs w:val="24"/>
          <w:lang w:eastAsia="lt-LT"/>
        </w:rPr>
        <w:t>Sudarytų sutarčių duomenys</w:t>
      </w:r>
    </w:p>
    <w:tbl>
      <w:tblPr>
        <w:tblW w:w="972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197"/>
        <w:gridCol w:w="1199"/>
        <w:gridCol w:w="1198"/>
        <w:gridCol w:w="1066"/>
        <w:gridCol w:w="1067"/>
      </w:tblGrid>
      <w:tr>
        <w:trPr>
          <w:trHeight w:val="310" w:hRule="atLeast"/>
        </w:trPr>
        <w:tc>
          <w:tcPr>
            <w:tcW w:w="519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Pavadinimas</w:t>
            </w:r>
          </w:p>
        </w:tc>
        <w:tc>
          <w:tcPr>
            <w:tcW w:w="1199" w:type="dxa"/>
            <w:tcBorders>
              <w:top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2025 m.</w:t>
            </w:r>
          </w:p>
        </w:tc>
        <w:tc>
          <w:tcPr>
            <w:tcW w:w="1198"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2024 m.</w:t>
            </w:r>
          </w:p>
        </w:tc>
        <w:tc>
          <w:tcPr>
            <w:tcW w:w="1066"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2023 m.</w:t>
            </w:r>
          </w:p>
        </w:tc>
        <w:tc>
          <w:tcPr>
            <w:tcW w:w="106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2022 m.</w:t>
            </w:r>
          </w:p>
        </w:tc>
      </w:tr>
      <w:tr>
        <w:trPr>
          <w:trHeight w:val="310" w:hRule="atLeast"/>
        </w:trPr>
        <w:tc>
          <w:tcPr>
            <w:tcW w:w="519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Sudarytos sutartys su fiziniais asmenimis</w:t>
            </w:r>
          </w:p>
        </w:tc>
        <w:tc>
          <w:tcPr>
            <w:tcW w:w="1199" w:type="dxa"/>
            <w:tcBorders>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val="en-US" w:eastAsia="lt-LT"/>
              </w:rPr>
            </w:pPr>
            <w:r>
              <w:rPr>
                <w:rFonts w:eastAsia="Times New Roman" w:cs="Times New Roman" w:ascii="Times New Roman" w:hAnsi="Times New Roman"/>
                <w:color w:val="000000" w:themeColor="text1"/>
                <w:sz w:val="20"/>
                <w:szCs w:val="20"/>
                <w:lang w:eastAsia="lt-LT"/>
              </w:rPr>
              <w:t>335</w:t>
            </w:r>
          </w:p>
        </w:tc>
        <w:tc>
          <w:tcPr>
            <w:tcW w:w="1198"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342</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391</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493</w:t>
            </w:r>
          </w:p>
        </w:tc>
      </w:tr>
      <w:tr>
        <w:trPr>
          <w:trHeight w:val="326" w:hRule="atLeast"/>
        </w:trPr>
        <w:tc>
          <w:tcPr>
            <w:tcW w:w="519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Buvo skaičiuojamas tik abonentas, sudarytos sutartys dėl mišrių atliekų konteinerio išvežimo</w:t>
            </w:r>
          </w:p>
        </w:tc>
        <w:tc>
          <w:tcPr>
            <w:tcW w:w="1199" w:type="dxa"/>
            <w:tcBorders>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70</w:t>
            </w:r>
          </w:p>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r>
          </w:p>
        </w:tc>
        <w:tc>
          <w:tcPr>
            <w:tcW w:w="1198"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64</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76</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0</w:t>
            </w:r>
          </w:p>
        </w:tc>
      </w:tr>
      <w:tr>
        <w:trPr>
          <w:trHeight w:val="310" w:hRule="atLeast"/>
        </w:trPr>
        <w:tc>
          <w:tcPr>
            <w:tcW w:w="5197"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Sudaryti priedai prie sutarties su fiziniais asmenimis</w:t>
            </w:r>
          </w:p>
        </w:tc>
        <w:tc>
          <w:tcPr>
            <w:tcW w:w="1199" w:type="dxa"/>
            <w:tcBorders>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116</w:t>
            </w:r>
          </w:p>
        </w:tc>
        <w:tc>
          <w:tcPr>
            <w:tcW w:w="1198"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151</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149</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178</w:t>
            </w:r>
          </w:p>
        </w:tc>
      </w:tr>
      <w:tr>
        <w:trPr>
          <w:trHeight w:val="320" w:hRule="atLeast"/>
        </w:trPr>
        <w:tc>
          <w:tcPr>
            <w:tcW w:w="519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Nauji NT objektai apmokestinti (išsiųsti pasiūlymai)</w:t>
            </w:r>
          </w:p>
        </w:tc>
        <w:tc>
          <w:tcPr>
            <w:tcW w:w="1199" w:type="dxa"/>
            <w:tcBorders>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182</w:t>
            </w:r>
          </w:p>
        </w:tc>
        <w:tc>
          <w:tcPr>
            <w:tcW w:w="1198"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432</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243</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316</w:t>
            </w:r>
          </w:p>
        </w:tc>
      </w:tr>
      <w:tr>
        <w:trPr>
          <w:trHeight w:val="310" w:hRule="atLeast"/>
        </w:trPr>
        <w:tc>
          <w:tcPr>
            <w:tcW w:w="519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Sudarytos sutartys su juridiniais asmenimis</w:t>
            </w:r>
          </w:p>
        </w:tc>
        <w:tc>
          <w:tcPr>
            <w:tcW w:w="1199" w:type="dxa"/>
            <w:tcBorders>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10</w:t>
            </w:r>
          </w:p>
        </w:tc>
        <w:tc>
          <w:tcPr>
            <w:tcW w:w="1198"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26</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21</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7</w:t>
            </w:r>
          </w:p>
        </w:tc>
      </w:tr>
      <w:tr>
        <w:trPr>
          <w:trHeight w:val="310" w:hRule="atLeast"/>
        </w:trPr>
        <w:tc>
          <w:tcPr>
            <w:tcW w:w="519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Išsiųsti pasiūlymai juridiniams asmenims</w:t>
            </w:r>
          </w:p>
        </w:tc>
        <w:tc>
          <w:tcPr>
            <w:tcW w:w="1199" w:type="dxa"/>
            <w:tcBorders>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0</w:t>
            </w:r>
          </w:p>
        </w:tc>
        <w:tc>
          <w:tcPr>
            <w:tcW w:w="1198" w:type="dxa"/>
            <w:tcBorders>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0</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12</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w:t>
            </w:r>
          </w:p>
        </w:tc>
      </w:tr>
      <w:tr>
        <w:trPr>
          <w:trHeight w:val="310" w:hRule="atLeast"/>
        </w:trPr>
        <w:tc>
          <w:tcPr>
            <w:tcW w:w="5197" w:type="dxa"/>
            <w:tcBorders>
              <w:left w:val="single" w:sz="4" w:space="0" w:color="000000"/>
              <w:bottom w:val="single" w:sz="4" w:space="0" w:color="000000"/>
              <w:right w:val="single" w:sz="4" w:space="0" w:color="000000"/>
            </w:tcBorders>
            <w:shd w:color="000000" w:fill="FFFFFF" w:val="clear"/>
            <w:vAlign w:val="cente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Pažymos dėl asmenų skaičiaus pasikeitimo</w:t>
            </w:r>
          </w:p>
        </w:tc>
        <w:tc>
          <w:tcPr>
            <w:tcW w:w="1199" w:type="dxa"/>
            <w:tcBorders>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285</w:t>
            </w:r>
          </w:p>
        </w:tc>
        <w:tc>
          <w:tcPr>
            <w:tcW w:w="1198"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285</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226</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196</w:t>
            </w:r>
          </w:p>
        </w:tc>
      </w:tr>
      <w:tr>
        <w:trPr>
          <w:trHeight w:val="310" w:hRule="atLeast"/>
        </w:trPr>
        <w:tc>
          <w:tcPr>
            <w:tcW w:w="519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Gauti mirties liudijimai</w:t>
            </w:r>
          </w:p>
        </w:tc>
        <w:tc>
          <w:tcPr>
            <w:tcW w:w="1199" w:type="dxa"/>
            <w:tcBorders>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107</w:t>
            </w:r>
          </w:p>
        </w:tc>
        <w:tc>
          <w:tcPr>
            <w:tcW w:w="1198"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109</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132</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108</w:t>
            </w:r>
          </w:p>
        </w:tc>
      </w:tr>
      <w:tr>
        <w:trPr>
          <w:trHeight w:val="310" w:hRule="atLeast"/>
        </w:trPr>
        <w:tc>
          <w:tcPr>
            <w:tcW w:w="519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Informuoti apie pirkimo pardavimo sutartis (pasikeitę savininkai)</w:t>
            </w:r>
          </w:p>
        </w:tc>
        <w:tc>
          <w:tcPr>
            <w:tcW w:w="1199" w:type="dxa"/>
            <w:tcBorders>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43</w:t>
            </w:r>
          </w:p>
        </w:tc>
        <w:tc>
          <w:tcPr>
            <w:tcW w:w="1198"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42</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46</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47</w:t>
            </w:r>
          </w:p>
        </w:tc>
      </w:tr>
      <w:tr>
        <w:trPr>
          <w:trHeight w:val="310" w:hRule="atLeast"/>
        </w:trPr>
        <w:tc>
          <w:tcPr>
            <w:tcW w:w="519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Gautos elektros tinklų pažymos</w:t>
            </w:r>
          </w:p>
        </w:tc>
        <w:tc>
          <w:tcPr>
            <w:tcW w:w="1199" w:type="dxa"/>
            <w:tcBorders>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45</w:t>
            </w:r>
          </w:p>
        </w:tc>
        <w:tc>
          <w:tcPr>
            <w:tcW w:w="1198"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76</w:t>
            </w:r>
          </w:p>
        </w:tc>
        <w:tc>
          <w:tcPr>
            <w:tcW w:w="1066"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53</w:t>
            </w:r>
          </w:p>
        </w:tc>
        <w:tc>
          <w:tcPr>
            <w:tcW w:w="1067" w:type="dxa"/>
            <w:tcBorders>
              <w:left w:val="single" w:sz="4" w:space="0" w:color="000000"/>
              <w:bottom w:val="single" w:sz="4" w:space="0" w:color="000000"/>
              <w:right w:val="single" w:sz="4" w:space="0" w:color="000000"/>
            </w:tcBorders>
            <w:shd w:color="000000" w:fill="FFFFFF" w:val="clear"/>
          </w:tcPr>
          <w:p>
            <w:pPr>
              <w:pStyle w:val="Normal"/>
              <w:widowControl w:val="false"/>
              <w:spacing w:lineRule="auto" w:line="240" w:before="0" w:after="0"/>
              <w:jc w:val="center"/>
              <w:rPr>
                <w:rFonts w:ascii="Times New Roman" w:hAnsi="Times New Roman" w:eastAsia="Times New Roman" w:cs="Times New Roman"/>
                <w:color w:val="000000" w:themeColor="text1"/>
                <w:sz w:val="20"/>
                <w:szCs w:val="20"/>
                <w:lang w:eastAsia="lt-LT"/>
              </w:rPr>
            </w:pPr>
            <w:r>
              <w:rPr>
                <w:rFonts w:eastAsia="Times New Roman" w:cs="Times New Roman" w:ascii="Times New Roman" w:hAnsi="Times New Roman"/>
                <w:color w:val="000000" w:themeColor="text1"/>
                <w:sz w:val="20"/>
                <w:szCs w:val="20"/>
                <w:lang w:eastAsia="lt-LT"/>
              </w:rPr>
              <w:t>42</w:t>
            </w:r>
            <w:bookmarkStart w:id="4" w:name="_Hlk188954650"/>
            <w:bookmarkEnd w:id="4"/>
          </w:p>
        </w:tc>
      </w:tr>
    </w:tbl>
    <w:p>
      <w:pPr>
        <w:pStyle w:val="Normal"/>
        <w:spacing w:lineRule="auto" w:line="240" w:before="0" w:after="0"/>
        <w:jc w:val="center"/>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r>
    </w:p>
    <w:p>
      <w:pPr>
        <w:pStyle w:val="Normal"/>
        <w:spacing w:lineRule="auto" w:line="240" w:before="0" w:after="0"/>
        <w:ind w:firstLine="1134"/>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Ignalinos rajono savivaldybės komunalinių atliekų turėtojų registravimo komisija</w:t>
      </w:r>
    </w:p>
    <w:p>
      <w:pPr>
        <w:pStyle w:val="Normal"/>
        <w:tabs>
          <w:tab w:val="clear" w:pos="1296"/>
          <w:tab w:val="left" w:pos="1298" w:leader="none"/>
        </w:tabs>
        <w:spacing w:lineRule="auto" w:line="240" w:before="0" w:after="0"/>
        <w:ind w:firstLine="720"/>
        <w:jc w:val="both"/>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tab/>
      </w:r>
    </w:p>
    <w:p>
      <w:pPr>
        <w:pStyle w:val="Normal"/>
        <w:tabs>
          <w:tab w:val="clear" w:pos="1296"/>
          <w:tab w:val="left" w:pos="1298" w:leader="none"/>
        </w:tabs>
        <w:spacing w:lineRule="auto" w:line="240" w:before="0" w:after="0"/>
        <w:ind w:firstLine="1134"/>
        <w:jc w:val="both"/>
        <w:rPr>
          <w:rFonts w:ascii="Times New Roman" w:hAnsi="Times New Roman" w:cs="Times New Roman"/>
          <w:color w:val="000000" w:themeColor="text1"/>
          <w:sz w:val="24"/>
          <w:szCs w:val="24"/>
        </w:rPr>
      </w:pPr>
      <w:r>
        <w:rPr>
          <w:rFonts w:eastAsia="Times New Roman" w:cs="Times New Roman" w:ascii="Times New Roman" w:hAnsi="Times New Roman"/>
          <w:color w:val="000000" w:themeColor="text1"/>
          <w:sz w:val="24"/>
          <w:szCs w:val="24"/>
        </w:rPr>
        <w:t xml:space="preserve">SĮ „Kompata“ 2025 m. gavo 10 prašymų iš nekilnojamo turto objektų savininkų arba įgaliotų asmenų dėl nekilnojamojo turto įtraukimo į netinkamų naudoti ar nenaudojamų nekilnojamojo turto objektų kategoriją. Kai VĮ Registrų centro duomenys neatitinka realios situacijos, savininkas arba įgaliotas asmuo gali teikti prašymą patvirtindamas, kad </w:t>
      </w:r>
      <w:r>
        <w:rPr>
          <w:rFonts w:cs="Times New Roman" w:ascii="Times New Roman" w:hAnsi="Times New Roman"/>
          <w:color w:val="000000" w:themeColor="text1"/>
          <w:sz w:val="24"/>
          <w:szCs w:val="24"/>
        </w:rPr>
        <w:t>nuosavybės teise priklausantis nekilnojamojo turto objektas yra fiziškai pažeistas.</w:t>
      </w:r>
    </w:p>
    <w:p>
      <w:pPr>
        <w:pStyle w:val="Normal"/>
        <w:tabs>
          <w:tab w:val="clear" w:pos="1296"/>
          <w:tab w:val="left" w:pos="1298" w:leader="none"/>
        </w:tabs>
        <w:spacing w:lineRule="auto" w:line="240" w:before="0" w:after="0"/>
        <w:ind w:firstLine="113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Gavusi pareiškėjo prašymą, Ignalinos rajono savivaldybės komunalinių atliekų turėtojų registravimo komisija nuvyksta į nekilnojamojo turto objektą. Apžiūrėjusi ir įvertinusi nekilnojamojo turto objekto būklę bei teritorijos aplinką, išnagrinėjusi gautus dokumentus bei kitą informaciją, nusprendžia dėl pastoviosios dalies mokesčių taikymo ir surašo nekilnojamojo turto objekto apžiūros aktą bei protokolą.</w:t>
      </w:r>
    </w:p>
    <w:p>
      <w:pPr>
        <w:pStyle w:val="Normal"/>
        <w:tabs>
          <w:tab w:val="clear" w:pos="1296"/>
          <w:tab w:val="left" w:pos="1298" w:leader="none"/>
        </w:tabs>
        <w:spacing w:lineRule="auto" w:line="240" w:before="0" w:after="0"/>
        <w:ind w:firstLine="1134"/>
        <w:jc w:val="both"/>
        <w:rPr>
          <w:rFonts w:ascii="Times New Roman" w:hAnsi="Times New Roman" w:eastAsia="Times New Roman" w:cs="Times New Roman"/>
          <w:sz w:val="24"/>
          <w:szCs w:val="24"/>
        </w:rPr>
      </w:pPr>
      <w:r>
        <w:rPr>
          <w:rFonts w:eastAsia="Times New Roman" w:cs="Times New Roman" w:ascii="Times New Roman" w:hAnsi="Times New Roman"/>
          <w:color w:val="000000" w:themeColor="text1"/>
          <w:sz w:val="24"/>
          <w:szCs w:val="24"/>
        </w:rPr>
        <w:t>2025 metais pastoviosios įmokos dalies mokesčiai buvo sustabdyti 10 nekilnojamojo turto objektų.</w:t>
      </w:r>
      <w:r>
        <w:rPr>
          <w:rFonts w:eastAsia="Times New Roman" w:cs="Times New Roman" w:ascii="Times New Roman" w:hAnsi="Times New Roman"/>
          <w:sz w:val="24"/>
          <w:szCs w:val="24"/>
        </w:rPr>
        <w:t xml:space="preserve"> </w:t>
      </w:r>
    </w:p>
    <w:p>
      <w:pPr>
        <w:pStyle w:val="Normal"/>
        <w:tabs>
          <w:tab w:val="clear" w:pos="1296"/>
          <w:tab w:val="left" w:pos="1298" w:leader="none"/>
        </w:tabs>
        <w:spacing w:lineRule="auto" w:line="240" w:before="0" w:after="0"/>
        <w:rPr>
          <w:rFonts w:ascii="Times New Roman" w:hAnsi="Times New Roman" w:cs="Times New Roman"/>
          <w:b/>
          <w:b/>
          <w:bCs/>
          <w:sz w:val="24"/>
          <w:szCs w:val="24"/>
          <w:highlight w:val="yellow"/>
        </w:rPr>
      </w:pPr>
      <w:r>
        <w:rPr>
          <w:rFonts w:cs="Times New Roman" w:ascii="Times New Roman" w:hAnsi="Times New Roman"/>
          <w:b/>
          <w:bCs/>
          <w:sz w:val="24"/>
          <w:szCs w:val="24"/>
          <w:highlight w:val="yellow"/>
        </w:rPr>
      </w:r>
    </w:p>
    <w:p>
      <w:pPr>
        <w:pStyle w:val="Normal"/>
        <w:tabs>
          <w:tab w:val="clear" w:pos="1296"/>
          <w:tab w:val="left" w:pos="1134" w:leader="none"/>
        </w:tabs>
        <w:spacing w:lineRule="auto" w:line="240" w:before="0" w:after="0"/>
        <w:rPr>
          <w:rFonts w:ascii="Times New Roman" w:hAnsi="Times New Roman" w:cs="Times New Roman"/>
          <w:b/>
          <w:b/>
          <w:bCs/>
          <w:sz w:val="24"/>
          <w:szCs w:val="24"/>
        </w:rPr>
      </w:pPr>
      <w:r>
        <w:rPr>
          <w:rFonts w:cs="Times New Roman" w:ascii="Times New Roman" w:hAnsi="Times New Roman"/>
          <w:b/>
          <w:bCs/>
          <w:sz w:val="24"/>
          <w:szCs w:val="24"/>
        </w:rPr>
        <w:tab/>
        <w:t xml:space="preserve">Savitarna </w:t>
      </w:r>
    </w:p>
    <w:p>
      <w:pPr>
        <w:pStyle w:val="Normal"/>
        <w:tabs>
          <w:tab w:val="clear" w:pos="1296"/>
          <w:tab w:val="left" w:pos="1298" w:leader="none"/>
        </w:tabs>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tabs>
          <w:tab w:val="clear" w:pos="1296"/>
          <w:tab w:val="left" w:pos="1298" w:leader="none"/>
        </w:tabs>
        <w:spacing w:lineRule="auto" w:line="240" w:before="0" w:after="0"/>
        <w:ind w:firstLine="1134"/>
        <w:rPr>
          <w:rFonts w:ascii="Times New Roman" w:hAnsi="Times New Roman" w:cs="Times New Roman"/>
          <w:sz w:val="24"/>
          <w:szCs w:val="24"/>
        </w:rPr>
      </w:pPr>
      <w:r>
        <w:rPr>
          <w:rFonts w:cs="Times New Roman" w:ascii="Times New Roman" w:hAnsi="Times New Roman"/>
          <w:sz w:val="24"/>
          <w:szCs w:val="24"/>
        </w:rPr>
        <w:t>SĮ „Kompata“ klientams sąskaitas pateikia keliais būdais – el. paštu, SMS žinutėmis ir per savitarnos svetainę. Elektroniniu paštu sąskaitas gauna 5 872 klientai, SMS žinutėmis – 3 233. Visi klientai taip pat gali peržiūrėti sąskaitas savitarnos svetainėje.</w:t>
      </w:r>
    </w:p>
    <w:p>
      <w:pPr>
        <w:pStyle w:val="Normal"/>
        <w:tabs>
          <w:tab w:val="clear" w:pos="1296"/>
          <w:tab w:val="left" w:pos="1298" w:leader="none"/>
        </w:tabs>
        <w:spacing w:lineRule="auto" w:line="240" w:before="0" w:after="0"/>
        <w:ind w:firstLine="1134"/>
        <w:rPr>
          <w:rFonts w:ascii="Times New Roman" w:hAnsi="Times New Roman" w:cs="Times New Roman"/>
          <w:i/>
          <w:i/>
          <w:iCs/>
          <w:color w:val="EE0000"/>
          <w:sz w:val="24"/>
          <w:szCs w:val="24"/>
        </w:rPr>
      </w:pPr>
      <w:r>
        <w:rPr>
          <w:rFonts w:cs="Times New Roman" w:ascii="Times New Roman" w:hAnsi="Times New Roman"/>
          <w:sz w:val="24"/>
          <w:szCs w:val="24"/>
        </w:rPr>
        <w:t xml:space="preserve">2025 metais buvo gautos 33 užklausos tiesiogiai per svetainę </w:t>
      </w:r>
      <w:hyperlink r:id="rId6">
        <w:r>
          <w:rPr>
            <w:rStyle w:val="InternetLink"/>
            <w:rFonts w:cs="Times New Roman" w:ascii="Times New Roman" w:hAnsi="Times New Roman"/>
            <w:sz w:val="24"/>
            <w:szCs w:val="24"/>
          </w:rPr>
          <w:t>www.kompata.lt</w:t>
        </w:r>
      </w:hyperlink>
      <w:r>
        <w:rPr>
          <w:rFonts w:cs="Times New Roman" w:ascii="Times New Roman" w:hAnsi="Times New Roman"/>
          <w:color w:val="EE0000"/>
          <w:sz w:val="24"/>
          <w:szCs w:val="24"/>
        </w:rPr>
        <w:t xml:space="preserve">. </w:t>
      </w:r>
    </w:p>
    <w:p>
      <w:pPr>
        <w:pStyle w:val="Normal"/>
        <w:tabs>
          <w:tab w:val="clear" w:pos="1296"/>
          <w:tab w:val="left" w:pos="1298" w:leader="none"/>
        </w:tabs>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tabs>
          <w:tab w:val="clear" w:pos="1296"/>
          <w:tab w:val="left" w:pos="1298" w:leader="none"/>
        </w:tabs>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Savitarnos duomenys</w:t>
      </w:r>
    </w:p>
    <w:tbl>
      <w:tblPr>
        <w:tblStyle w:val="Lentelstinklelis"/>
        <w:tblW w:w="481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413"/>
        <w:gridCol w:w="3401"/>
      </w:tblGrid>
      <w:tr>
        <w:trPr>
          <w:trHeight w:val="285" w:hRule="atLeast"/>
        </w:trPr>
        <w:tc>
          <w:tcPr>
            <w:tcW w:w="1413" w:type="dxa"/>
            <w:tcBorders/>
          </w:tcPr>
          <w:p>
            <w:pPr>
              <w:pStyle w:val="Normal"/>
              <w:widowControl/>
              <w:tabs>
                <w:tab w:val="clear" w:pos="1296"/>
                <w:tab w:val="left" w:pos="1298" w:leader="none"/>
              </w:tabs>
              <w:spacing w:lineRule="auto" w:line="240" w:before="0" w:after="0"/>
              <w:jc w:val="left"/>
              <w:rPr>
                <w:rFonts w:ascii="Times New Roman" w:hAnsi="Times New Roman" w:cs="Times New Roman"/>
                <w:sz w:val="24"/>
                <w:szCs w:val="24"/>
              </w:rPr>
            </w:pPr>
            <w:r>
              <w:rPr>
                <w:rFonts w:eastAsia="Calibri" w:cs="Times New Roman" w:ascii="Times New Roman" w:hAnsi="Times New Roman"/>
                <w:sz w:val="24"/>
                <w:szCs w:val="24"/>
                <w:lang w:val="lt-LT" w:eastAsia="en-US" w:bidi="ar-SA"/>
              </w:rPr>
              <w:t>Metai</w:t>
            </w:r>
          </w:p>
        </w:tc>
        <w:tc>
          <w:tcPr>
            <w:tcW w:w="3401" w:type="dxa"/>
            <w:tcBorders/>
          </w:tcPr>
          <w:p>
            <w:pPr>
              <w:pStyle w:val="Normal"/>
              <w:widowControl/>
              <w:tabs>
                <w:tab w:val="clear" w:pos="1296"/>
                <w:tab w:val="left" w:pos="1298" w:leader="none"/>
              </w:tabs>
              <w:spacing w:lineRule="auto" w:line="240" w:before="0" w:after="0"/>
              <w:jc w:val="left"/>
              <w:rPr>
                <w:rFonts w:ascii="Times New Roman" w:hAnsi="Times New Roman" w:cs="Times New Roman"/>
                <w:sz w:val="24"/>
                <w:szCs w:val="24"/>
              </w:rPr>
            </w:pPr>
            <w:r>
              <w:rPr>
                <w:rFonts w:eastAsia="Calibri" w:cs="Times New Roman" w:ascii="Times New Roman" w:hAnsi="Times New Roman"/>
                <w:sz w:val="24"/>
                <w:szCs w:val="24"/>
                <w:lang w:val="lt-LT" w:eastAsia="en-US" w:bidi="ar-SA"/>
              </w:rPr>
              <w:t>Naujai prisijungusių prie savitarnos vartotojų skaičius</w:t>
            </w:r>
          </w:p>
        </w:tc>
      </w:tr>
      <w:tr>
        <w:trPr>
          <w:trHeight w:val="275" w:hRule="atLeast"/>
        </w:trPr>
        <w:tc>
          <w:tcPr>
            <w:tcW w:w="1413" w:type="dxa"/>
            <w:tcBorders/>
          </w:tcPr>
          <w:p>
            <w:pPr>
              <w:pStyle w:val="Normal"/>
              <w:widowControl/>
              <w:tabs>
                <w:tab w:val="clear" w:pos="1296"/>
                <w:tab w:val="left" w:pos="1298" w:leader="none"/>
              </w:tabs>
              <w:spacing w:lineRule="auto" w:line="240" w:before="0" w:after="0"/>
              <w:jc w:val="left"/>
              <w:rPr>
                <w:rFonts w:ascii="Times New Roman" w:hAnsi="Times New Roman" w:cs="Times New Roman"/>
                <w:sz w:val="24"/>
                <w:szCs w:val="24"/>
              </w:rPr>
            </w:pPr>
            <w:r>
              <w:rPr>
                <w:rFonts w:eastAsia="Calibri" w:cs="Times New Roman" w:ascii="Times New Roman" w:hAnsi="Times New Roman"/>
                <w:sz w:val="24"/>
                <w:szCs w:val="24"/>
                <w:lang w:val="lt-LT" w:eastAsia="en-US" w:bidi="ar-SA"/>
              </w:rPr>
              <w:t>2021</w:t>
            </w:r>
          </w:p>
        </w:tc>
        <w:tc>
          <w:tcPr>
            <w:tcW w:w="3401" w:type="dxa"/>
            <w:tcBorders/>
          </w:tcPr>
          <w:p>
            <w:pPr>
              <w:pStyle w:val="Normal"/>
              <w:widowControl/>
              <w:tabs>
                <w:tab w:val="clear" w:pos="1296"/>
                <w:tab w:val="left" w:pos="1298" w:leader="none"/>
              </w:tabs>
              <w:spacing w:lineRule="auto" w:line="240" w:before="0" w:after="0"/>
              <w:jc w:val="center"/>
              <w:rPr>
                <w:rFonts w:ascii="Times New Roman" w:hAnsi="Times New Roman" w:cs="Times New Roman"/>
                <w:sz w:val="24"/>
                <w:szCs w:val="24"/>
              </w:rPr>
            </w:pPr>
            <w:r>
              <w:rPr>
                <w:rFonts w:eastAsia="Calibri" w:cs="Times New Roman" w:ascii="Times New Roman" w:hAnsi="Times New Roman"/>
                <w:sz w:val="24"/>
                <w:szCs w:val="24"/>
                <w:lang w:val="lt-LT" w:eastAsia="en-US" w:bidi="ar-SA"/>
              </w:rPr>
              <w:t>121</w:t>
            </w:r>
          </w:p>
        </w:tc>
      </w:tr>
      <w:tr>
        <w:trPr>
          <w:trHeight w:val="285" w:hRule="atLeast"/>
        </w:trPr>
        <w:tc>
          <w:tcPr>
            <w:tcW w:w="1413" w:type="dxa"/>
            <w:tcBorders/>
          </w:tcPr>
          <w:p>
            <w:pPr>
              <w:pStyle w:val="Normal"/>
              <w:widowControl/>
              <w:tabs>
                <w:tab w:val="clear" w:pos="1296"/>
                <w:tab w:val="left" w:pos="1298" w:leader="none"/>
              </w:tabs>
              <w:spacing w:lineRule="auto" w:line="240" w:before="0" w:after="0"/>
              <w:jc w:val="left"/>
              <w:rPr>
                <w:rFonts w:ascii="Times New Roman" w:hAnsi="Times New Roman" w:cs="Times New Roman"/>
                <w:sz w:val="24"/>
                <w:szCs w:val="24"/>
              </w:rPr>
            </w:pPr>
            <w:r>
              <w:rPr>
                <w:rFonts w:eastAsia="Calibri" w:cs="Times New Roman" w:ascii="Times New Roman" w:hAnsi="Times New Roman"/>
                <w:sz w:val="24"/>
                <w:szCs w:val="24"/>
                <w:lang w:val="lt-LT" w:eastAsia="en-US" w:bidi="ar-SA"/>
              </w:rPr>
              <w:t>2022</w:t>
            </w:r>
          </w:p>
        </w:tc>
        <w:tc>
          <w:tcPr>
            <w:tcW w:w="3401" w:type="dxa"/>
            <w:tcBorders/>
          </w:tcPr>
          <w:p>
            <w:pPr>
              <w:pStyle w:val="Normal"/>
              <w:widowControl/>
              <w:tabs>
                <w:tab w:val="clear" w:pos="1296"/>
                <w:tab w:val="left" w:pos="1298" w:leader="none"/>
              </w:tabs>
              <w:spacing w:lineRule="auto" w:line="240" w:before="0" w:after="0"/>
              <w:jc w:val="center"/>
              <w:rPr>
                <w:rFonts w:ascii="Times New Roman" w:hAnsi="Times New Roman" w:cs="Times New Roman"/>
                <w:sz w:val="24"/>
                <w:szCs w:val="24"/>
              </w:rPr>
            </w:pPr>
            <w:r>
              <w:rPr>
                <w:rFonts w:eastAsia="Calibri" w:cs="Times New Roman" w:ascii="Times New Roman" w:hAnsi="Times New Roman"/>
                <w:sz w:val="24"/>
                <w:szCs w:val="24"/>
                <w:lang w:val="lt-LT" w:eastAsia="en-US" w:bidi="ar-SA"/>
              </w:rPr>
              <w:t>423</w:t>
            </w:r>
          </w:p>
        </w:tc>
      </w:tr>
      <w:tr>
        <w:trPr>
          <w:trHeight w:val="275" w:hRule="atLeast"/>
        </w:trPr>
        <w:tc>
          <w:tcPr>
            <w:tcW w:w="1413" w:type="dxa"/>
            <w:tcBorders/>
          </w:tcPr>
          <w:p>
            <w:pPr>
              <w:pStyle w:val="Normal"/>
              <w:widowControl/>
              <w:tabs>
                <w:tab w:val="clear" w:pos="1296"/>
                <w:tab w:val="left" w:pos="1298" w:leader="none"/>
              </w:tabs>
              <w:spacing w:lineRule="auto" w:line="240" w:before="0" w:after="0"/>
              <w:jc w:val="left"/>
              <w:rPr>
                <w:rFonts w:ascii="Times New Roman" w:hAnsi="Times New Roman" w:cs="Times New Roman"/>
                <w:sz w:val="24"/>
                <w:szCs w:val="24"/>
              </w:rPr>
            </w:pPr>
            <w:r>
              <w:rPr>
                <w:rFonts w:eastAsia="Calibri" w:cs="Times New Roman" w:ascii="Times New Roman" w:hAnsi="Times New Roman"/>
                <w:sz w:val="24"/>
                <w:szCs w:val="24"/>
                <w:lang w:val="lt-LT" w:eastAsia="en-US" w:bidi="ar-SA"/>
              </w:rPr>
              <w:t>2023</w:t>
            </w:r>
          </w:p>
        </w:tc>
        <w:tc>
          <w:tcPr>
            <w:tcW w:w="3401" w:type="dxa"/>
            <w:tcBorders/>
          </w:tcPr>
          <w:p>
            <w:pPr>
              <w:pStyle w:val="Normal"/>
              <w:widowControl/>
              <w:tabs>
                <w:tab w:val="clear" w:pos="1296"/>
                <w:tab w:val="left" w:pos="1298" w:leader="none"/>
              </w:tabs>
              <w:spacing w:lineRule="auto" w:line="240" w:before="0" w:after="0"/>
              <w:jc w:val="center"/>
              <w:rPr>
                <w:rFonts w:ascii="Times New Roman" w:hAnsi="Times New Roman" w:cs="Times New Roman"/>
                <w:sz w:val="24"/>
                <w:szCs w:val="24"/>
              </w:rPr>
            </w:pPr>
            <w:r>
              <w:rPr>
                <w:rFonts w:eastAsia="Calibri" w:cs="Times New Roman" w:ascii="Times New Roman" w:hAnsi="Times New Roman"/>
                <w:sz w:val="24"/>
                <w:szCs w:val="24"/>
                <w:lang w:val="lt-LT" w:eastAsia="en-US" w:bidi="ar-SA"/>
              </w:rPr>
              <w:t>556</w:t>
            </w:r>
          </w:p>
        </w:tc>
      </w:tr>
      <w:tr>
        <w:trPr>
          <w:trHeight w:val="285" w:hRule="atLeast"/>
        </w:trPr>
        <w:tc>
          <w:tcPr>
            <w:tcW w:w="1413" w:type="dxa"/>
            <w:tcBorders/>
          </w:tcPr>
          <w:p>
            <w:pPr>
              <w:pStyle w:val="Normal"/>
              <w:widowControl/>
              <w:tabs>
                <w:tab w:val="clear" w:pos="1296"/>
                <w:tab w:val="left" w:pos="1298" w:leader="none"/>
              </w:tabs>
              <w:spacing w:lineRule="auto" w:line="240" w:before="0" w:after="0"/>
              <w:jc w:val="left"/>
              <w:rPr>
                <w:rFonts w:ascii="Times New Roman" w:hAnsi="Times New Roman" w:cs="Times New Roman"/>
                <w:sz w:val="24"/>
                <w:szCs w:val="24"/>
              </w:rPr>
            </w:pPr>
            <w:r>
              <w:rPr>
                <w:rFonts w:eastAsia="Calibri" w:cs="Times New Roman" w:ascii="Times New Roman" w:hAnsi="Times New Roman"/>
                <w:sz w:val="24"/>
                <w:szCs w:val="24"/>
                <w:lang w:val="lt-LT" w:eastAsia="en-US" w:bidi="ar-SA"/>
              </w:rPr>
              <w:t>2024</w:t>
            </w:r>
          </w:p>
        </w:tc>
        <w:tc>
          <w:tcPr>
            <w:tcW w:w="3401" w:type="dxa"/>
            <w:tcBorders/>
          </w:tcPr>
          <w:p>
            <w:pPr>
              <w:pStyle w:val="Normal"/>
              <w:widowControl/>
              <w:tabs>
                <w:tab w:val="clear" w:pos="1296"/>
                <w:tab w:val="left" w:pos="1298" w:leader="none"/>
              </w:tabs>
              <w:spacing w:lineRule="auto" w:line="240" w:before="0" w:after="0"/>
              <w:jc w:val="center"/>
              <w:rPr>
                <w:rFonts w:ascii="Times New Roman" w:hAnsi="Times New Roman" w:cs="Times New Roman"/>
                <w:sz w:val="24"/>
                <w:szCs w:val="24"/>
              </w:rPr>
            </w:pPr>
            <w:r>
              <w:rPr>
                <w:rFonts w:eastAsia="Calibri" w:cs="Times New Roman" w:ascii="Times New Roman" w:hAnsi="Times New Roman"/>
                <w:sz w:val="24"/>
                <w:szCs w:val="24"/>
                <w:lang w:val="lt-LT" w:eastAsia="en-US" w:bidi="ar-SA"/>
              </w:rPr>
              <w:t>433</w:t>
            </w:r>
          </w:p>
        </w:tc>
      </w:tr>
      <w:tr>
        <w:trPr>
          <w:trHeight w:val="285" w:hRule="atLeast"/>
        </w:trPr>
        <w:tc>
          <w:tcPr>
            <w:tcW w:w="1413" w:type="dxa"/>
            <w:tcBorders/>
          </w:tcPr>
          <w:p>
            <w:pPr>
              <w:pStyle w:val="Normal"/>
              <w:widowControl/>
              <w:tabs>
                <w:tab w:val="clear" w:pos="1296"/>
                <w:tab w:val="left" w:pos="1298" w:leader="none"/>
              </w:tabs>
              <w:spacing w:lineRule="auto" w:line="240" w:before="0" w:after="0"/>
              <w:jc w:val="left"/>
              <w:rPr>
                <w:rFonts w:ascii="Times New Roman" w:hAnsi="Times New Roman" w:cs="Times New Roman"/>
                <w:sz w:val="24"/>
                <w:szCs w:val="24"/>
              </w:rPr>
            </w:pPr>
            <w:r>
              <w:rPr>
                <w:rFonts w:eastAsia="Calibri" w:cs="Times New Roman" w:ascii="Times New Roman" w:hAnsi="Times New Roman"/>
                <w:sz w:val="24"/>
                <w:szCs w:val="24"/>
                <w:lang w:val="lt-LT" w:eastAsia="en-US" w:bidi="ar-SA"/>
              </w:rPr>
              <w:t>2025</w:t>
            </w:r>
          </w:p>
        </w:tc>
        <w:tc>
          <w:tcPr>
            <w:tcW w:w="3401" w:type="dxa"/>
            <w:tcBorders/>
          </w:tcPr>
          <w:p>
            <w:pPr>
              <w:pStyle w:val="Normal"/>
              <w:widowControl/>
              <w:tabs>
                <w:tab w:val="clear" w:pos="1296"/>
                <w:tab w:val="left" w:pos="1298" w:leader="none"/>
              </w:tabs>
              <w:spacing w:lineRule="auto" w:line="240" w:before="0" w:after="0"/>
              <w:jc w:val="center"/>
              <w:rPr>
                <w:rFonts w:ascii="Times New Roman" w:hAnsi="Times New Roman" w:cs="Times New Roman"/>
                <w:sz w:val="24"/>
                <w:szCs w:val="24"/>
              </w:rPr>
            </w:pPr>
            <w:r>
              <w:rPr>
                <w:rFonts w:eastAsia="Calibri" w:cs="Times New Roman" w:ascii="Times New Roman" w:hAnsi="Times New Roman"/>
                <w:sz w:val="24"/>
                <w:szCs w:val="24"/>
                <w:lang w:val="lt-LT" w:eastAsia="en-US" w:bidi="ar-SA"/>
              </w:rPr>
              <w:t>291</w:t>
            </w:r>
          </w:p>
        </w:tc>
      </w:tr>
      <w:tr>
        <w:trPr>
          <w:trHeight w:val="285" w:hRule="atLeast"/>
        </w:trPr>
        <w:tc>
          <w:tcPr>
            <w:tcW w:w="1413" w:type="dxa"/>
            <w:tcBorders/>
          </w:tcPr>
          <w:p>
            <w:pPr>
              <w:pStyle w:val="Normal"/>
              <w:widowControl/>
              <w:tabs>
                <w:tab w:val="clear" w:pos="1296"/>
                <w:tab w:val="left" w:pos="1298" w:leader="none"/>
              </w:tabs>
              <w:spacing w:lineRule="auto" w:line="240" w:before="0" w:after="0"/>
              <w:jc w:val="right"/>
              <w:rPr>
                <w:rFonts w:ascii="Times New Roman" w:hAnsi="Times New Roman" w:cs="Times New Roman"/>
                <w:sz w:val="24"/>
                <w:szCs w:val="24"/>
              </w:rPr>
            </w:pPr>
            <w:r>
              <w:rPr>
                <w:rFonts w:eastAsia="Calibri" w:cs="Times New Roman" w:ascii="Times New Roman" w:hAnsi="Times New Roman"/>
                <w:sz w:val="24"/>
                <w:szCs w:val="24"/>
                <w:lang w:val="lt-LT" w:eastAsia="en-US" w:bidi="ar-SA"/>
              </w:rPr>
              <w:t>Iš viso:</w:t>
            </w:r>
          </w:p>
        </w:tc>
        <w:tc>
          <w:tcPr>
            <w:tcW w:w="3401" w:type="dxa"/>
            <w:tcBorders/>
          </w:tcPr>
          <w:p>
            <w:pPr>
              <w:pStyle w:val="Normal"/>
              <w:widowControl/>
              <w:tabs>
                <w:tab w:val="clear" w:pos="1296"/>
                <w:tab w:val="left" w:pos="1298" w:leader="none"/>
              </w:tabs>
              <w:spacing w:lineRule="auto" w:line="240" w:before="0" w:after="0"/>
              <w:jc w:val="center"/>
              <w:rPr>
                <w:rFonts w:ascii="Times New Roman" w:hAnsi="Times New Roman" w:cs="Times New Roman"/>
                <w:sz w:val="24"/>
                <w:szCs w:val="24"/>
              </w:rPr>
            </w:pPr>
            <w:r>
              <w:rPr>
                <w:rFonts w:eastAsia="Calibri" w:cs="Times New Roman" w:ascii="Times New Roman" w:hAnsi="Times New Roman"/>
                <w:sz w:val="24"/>
                <w:szCs w:val="24"/>
                <w:lang w:val="lt-LT" w:eastAsia="en-US" w:bidi="ar-SA"/>
              </w:rPr>
              <w:t>1824</w:t>
            </w:r>
          </w:p>
        </w:tc>
      </w:tr>
    </w:tbl>
    <w:p>
      <w:pPr>
        <w:pStyle w:val="Normal"/>
        <w:tabs>
          <w:tab w:val="clear" w:pos="1296"/>
          <w:tab w:val="left" w:pos="1298" w:leader="none"/>
        </w:tabs>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clear" w:pos="1296"/>
          <w:tab w:val="left" w:pos="1298" w:leader="none"/>
        </w:tabs>
        <w:spacing w:lineRule="auto" w:line="240" w:before="0" w:after="0"/>
        <w:ind w:firstLine="1134"/>
        <w:jc w:val="both"/>
        <w:rPr>
          <w:rFonts w:ascii="Times New Roman" w:hAnsi="Times New Roman" w:cs="Times New Roman"/>
          <w:sz w:val="24"/>
          <w:szCs w:val="24"/>
        </w:rPr>
      </w:pPr>
      <w:r>
        <w:rPr>
          <w:rFonts w:cs="Times New Roman" w:ascii="Times New Roman" w:hAnsi="Times New Roman"/>
          <w:sz w:val="24"/>
          <w:szCs w:val="24"/>
        </w:rPr>
        <w:tab/>
        <w:t>Pateikti duomenys rodo, kad savitarnos svetainės populiarumas sparčiai augo 2021–2023 metais įdiegus svetainę ir ypač 2023 metais, kai Įmonė nuo 2024 m. sausio 1 d. atsisakė popierinių sąskaitų ir apie tai informavo klientus. 2024 ir 2025 metais naujai prisijungusių naudotojų skaičius šiek tiek sumažėjo. 2025 m. gruodžio 31 d. duomenimis, savitarnos svetaine naudojosi 1824 klientai. Tai patvirtina, kad skaitmeniniai sprendimai yra svarbi ir plačiai taikoma paslaugų teikimo forma SĮ „Kompata“.</w:t>
      </w:r>
    </w:p>
    <w:p>
      <w:pPr>
        <w:pStyle w:val="Normal"/>
        <w:tabs>
          <w:tab w:val="clear" w:pos="1296"/>
          <w:tab w:val="left" w:pos="1298"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tabs>
          <w:tab w:val="clear" w:pos="1296"/>
          <w:tab w:val="left" w:pos="1134" w:leader="none"/>
        </w:tabs>
        <w:spacing w:lineRule="auto" w:line="240" w:before="0" w:after="0"/>
        <w:rPr>
          <w:rFonts w:ascii="Times New Roman" w:hAnsi="Times New Roman" w:eastAsia="Times New Roman" w:cs="Times New Roman"/>
          <w:b/>
          <w:b/>
          <w:bCs/>
          <w:color w:val="000000" w:themeColor="text1"/>
          <w:sz w:val="24"/>
          <w:szCs w:val="24"/>
        </w:rPr>
      </w:pPr>
      <w:r>
        <w:rPr>
          <w:rFonts w:eastAsia="Times New Roman" w:cs="Times New Roman" w:ascii="Times New Roman" w:hAnsi="Times New Roman"/>
          <w:b/>
          <w:bCs/>
          <w:color w:val="000000" w:themeColor="text1"/>
          <w:sz w:val="24"/>
          <w:szCs w:val="24"/>
        </w:rPr>
        <w:tab/>
        <w:t>Viešieji pirkimai</w:t>
      </w:r>
    </w:p>
    <w:p>
      <w:pPr>
        <w:pStyle w:val="Normal"/>
        <w:tabs>
          <w:tab w:val="clear" w:pos="1296"/>
          <w:tab w:val="left" w:pos="1298" w:leader="none"/>
        </w:tabs>
        <w:spacing w:lineRule="auto" w:line="240" w:before="0" w:after="0"/>
        <w:jc w:val="center"/>
        <w:rPr>
          <w:rFonts w:ascii="Times New Roman" w:hAnsi="Times New Roman" w:eastAsia="Times New Roman" w:cs="Times New Roman"/>
          <w:b/>
          <w:b/>
          <w:bCs/>
          <w:color w:val="000000" w:themeColor="text1"/>
          <w:sz w:val="24"/>
          <w:szCs w:val="24"/>
        </w:rPr>
      </w:pPr>
      <w:r>
        <w:rPr>
          <w:rFonts w:eastAsia="Times New Roman" w:cs="Times New Roman" w:ascii="Times New Roman" w:hAnsi="Times New Roman"/>
          <w:b/>
          <w:bCs/>
          <w:color w:val="000000" w:themeColor="text1"/>
          <w:sz w:val="24"/>
          <w:szCs w:val="24"/>
        </w:rPr>
      </w:r>
    </w:p>
    <w:p>
      <w:pPr>
        <w:pStyle w:val="Normal"/>
        <w:tabs>
          <w:tab w:val="clear" w:pos="1296"/>
          <w:tab w:val="left" w:pos="1298" w:leader="none"/>
        </w:tabs>
        <w:spacing w:lineRule="auto" w:line="240" w:before="0" w:after="0"/>
        <w:ind w:firstLine="113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Per 2025 metus Įmonėje buvo įvykdyta pirkimų ir sudaryta sutarčių už 664 375,63 Eur. Sudaryta 130 žodinių sutarčių ir 32 rašytinės sutartys. </w:t>
      </w:r>
    </w:p>
    <w:p>
      <w:pPr>
        <w:pStyle w:val="Normal"/>
        <w:tabs>
          <w:tab w:val="clear" w:pos="1296"/>
          <w:tab w:val="left" w:pos="1298" w:leader="none"/>
        </w:tabs>
        <w:spacing w:lineRule="auto" w:line="240" w:before="0" w:after="0"/>
        <w:ind w:firstLine="113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Pagal žodines sutartis nupirkta prekių už 20 109,75 Eur, pagal žodines paslaugų sutartis įvykdyta pirkimų už 19 951,87 Eur.</w:t>
      </w:r>
    </w:p>
    <w:p>
      <w:pPr>
        <w:pStyle w:val="Normal"/>
        <w:tabs>
          <w:tab w:val="clear" w:pos="1296"/>
          <w:tab w:val="left" w:pos="1298" w:leader="none"/>
        </w:tabs>
        <w:spacing w:lineRule="auto" w:line="240" w:before="0" w:after="0"/>
        <w:ind w:firstLine="113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Sudarant rašytines sutartis, įvykdyta pirkimų: prekių – 560 750,97 Eur, paslaugų – 47 579,38 Eur ir darbų – 15 983,66 Eur.</w:t>
      </w:r>
    </w:p>
    <w:p>
      <w:pPr>
        <w:pStyle w:val="Normal"/>
        <w:tabs>
          <w:tab w:val="clear" w:pos="1296"/>
          <w:tab w:val="left" w:pos="1298" w:leader="none"/>
        </w:tabs>
        <w:spacing w:lineRule="auto" w:line="240" w:before="0" w:after="0"/>
        <w:ind w:firstLine="1134"/>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Vykdant pirkimus, naudotasi CVP IS priemonėmis, CPO LT katalogu, taip pat įvykdyti pirkimai apklausos žodžiu ir raštu būdais. Vadovaujamasi Lietuvos Respublikos viešųjų pirkimų įstatymu ir įstatymų įgyvendinamaisiais teisės aktais, taip pat SĮ „Kompata“ vadovo 2024 m. gegužės 16 d. įsakymu Nr. V-12  patvirtintu Savivaldybės įmonės „Kompata“ viešųjų pirkimų organizavimo tvarkos aprašu, nuolat konsultuojamasi su Viešųjų pirkimų tarnyba.</w:t>
      </w:r>
    </w:p>
    <w:p>
      <w:pPr>
        <w:pStyle w:val="Normal"/>
        <w:tabs>
          <w:tab w:val="clear" w:pos="1296"/>
          <w:tab w:val="left" w:pos="1298" w:leader="none"/>
        </w:tabs>
        <w:spacing w:lineRule="auto" w:line="240" w:before="0" w:after="0"/>
        <w:ind w:firstLine="1134"/>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Vykdydama tarptautinį pirkimą, Įmonė įsigijo ilgalaikio turto – šiukšliavežį su hidromanipuliatoriumi. Pirkimas pradėtas vykdyti 2024 metų pabaigoje, sutartis pasirašyta 2025 metų pradžioje, atliktas CVP IS priemonėmis. Pirkimu buvo susidomėję aštuoni tiekėjai, tačiau pasiūlymą pateikė vienas tiekėjas. Jo pasiūlymas atitiko techninę specifikaciją, todėl buvo pripažintas laimėjusiu. Įsigyto šiukšliavežio kaina – 269 800,00 Eur be PVM. Prieš paskelbiant tarptautinį pirkimą buvo atliktas rinkos tyrimas, gauti pasiūlymai ir pastabos iš tiekėjų leido tinkamai paruošti techninę specifikaciją ir gerai pasiruošti būsimam pirkimui.</w:t>
      </w:r>
    </w:p>
    <w:p>
      <w:pPr>
        <w:pStyle w:val="Normal"/>
        <w:tabs>
          <w:tab w:val="clear" w:pos="1296"/>
          <w:tab w:val="left" w:pos="1298" w:leader="none"/>
        </w:tabs>
        <w:spacing w:lineRule="auto" w:line="240" w:before="0" w:after="0"/>
        <w:ind w:firstLine="1134"/>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Naudojantis CPO LT katalogu, įsigyta elektros energijos ir kuro Įmonės veiklai vykdyti. </w:t>
      </w:r>
    </w:p>
    <w:p>
      <w:pPr>
        <w:pStyle w:val="Normal"/>
        <w:tabs>
          <w:tab w:val="clear" w:pos="1296"/>
          <w:tab w:val="left" w:pos="1298" w:leader="none"/>
        </w:tabs>
        <w:spacing w:lineRule="auto" w:line="240" w:before="0" w:after="0"/>
        <w:ind w:firstLine="720"/>
        <w:contextualSpacing/>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tabs>
          <w:tab w:val="clear" w:pos="1296"/>
          <w:tab w:val="left" w:pos="1298" w:leader="none"/>
        </w:tabs>
        <w:spacing w:lineRule="auto" w:line="240" w:before="0" w:after="0"/>
        <w:contextualSpacing/>
        <w:jc w:val="center"/>
        <w:rPr>
          <w:rFonts w:ascii="Times New Roman" w:hAnsi="Times New Roman" w:cs="Times New Roman"/>
          <w:b/>
          <w:b/>
          <w:bCs/>
          <w:color w:val="000000" w:themeColor="text1"/>
          <w:sz w:val="24"/>
          <w:szCs w:val="24"/>
          <w:highlight w:val="yellow"/>
        </w:rPr>
      </w:pPr>
      <w:r>
        <w:rPr>
          <w:rFonts w:cs="Times New Roman" w:ascii="Times New Roman" w:hAnsi="Times New Roman"/>
          <w:b/>
          <w:bCs/>
          <w:color w:val="000000" w:themeColor="text1"/>
          <w:sz w:val="24"/>
          <w:szCs w:val="24"/>
          <w:highlight w:val="yellow"/>
        </w:rPr>
      </w:r>
    </w:p>
    <w:p>
      <w:pPr>
        <w:pStyle w:val="Normal"/>
        <w:tabs>
          <w:tab w:val="clear" w:pos="1296"/>
          <w:tab w:val="left" w:pos="1298" w:leader="none"/>
        </w:tabs>
        <w:spacing w:lineRule="auto" w:line="240" w:before="0" w:after="0"/>
        <w:contextualSpacing/>
        <w:jc w:val="center"/>
        <w:rPr>
          <w:rFonts w:ascii="Times New Roman" w:hAnsi="Times New Roman" w:cs="Times New Roman"/>
          <w:b/>
          <w:b/>
          <w:bCs/>
          <w:color w:val="000000" w:themeColor="text1"/>
          <w:sz w:val="24"/>
          <w:szCs w:val="24"/>
          <w:highlight w:val="yellow"/>
        </w:rPr>
      </w:pPr>
      <w:r>
        <w:rPr>
          <w:rFonts w:cs="Times New Roman" w:ascii="Times New Roman" w:hAnsi="Times New Roman"/>
          <w:b/>
          <w:bCs/>
          <w:color w:val="000000" w:themeColor="text1"/>
          <w:sz w:val="24"/>
          <w:szCs w:val="24"/>
          <w:highlight w:val="yellow"/>
        </w:rPr>
      </w:r>
    </w:p>
    <w:p>
      <w:pPr>
        <w:pStyle w:val="Normal"/>
        <w:tabs>
          <w:tab w:val="clear" w:pos="1296"/>
          <w:tab w:val="left" w:pos="1298" w:leader="none"/>
        </w:tabs>
        <w:spacing w:lineRule="auto" w:line="240" w:before="0" w:after="0"/>
        <w:contextualSpacing/>
        <w:rPr>
          <w:rFonts w:ascii="Times New Roman" w:hAnsi="Times New Roman" w:cs="Times New Roman"/>
          <w:b/>
          <w:b/>
          <w:bCs/>
          <w:color w:val="000000" w:themeColor="text1"/>
          <w:sz w:val="24"/>
          <w:szCs w:val="24"/>
          <w:highlight w:val="yellow"/>
        </w:rPr>
      </w:pPr>
      <w:r>
        <w:rPr>
          <w:rFonts w:cs="Times New Roman" w:ascii="Times New Roman" w:hAnsi="Times New Roman"/>
          <w:b/>
          <w:bCs/>
          <w:color w:val="000000" w:themeColor="text1"/>
          <w:sz w:val="24"/>
          <w:szCs w:val="24"/>
          <w:highlight w:val="yellow"/>
        </w:rPr>
      </w:r>
    </w:p>
    <w:p>
      <w:pPr>
        <w:pStyle w:val="Normal"/>
        <w:tabs>
          <w:tab w:val="clear" w:pos="1296"/>
          <w:tab w:val="left" w:pos="1134" w:leader="none"/>
        </w:tabs>
        <w:spacing w:lineRule="auto" w:line="240" w:before="0" w:after="0"/>
        <w:contextualSpacing/>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tab/>
        <w:t>Skolų administravimas</w:t>
      </w:r>
    </w:p>
    <w:p>
      <w:pPr>
        <w:pStyle w:val="Normal"/>
        <w:tabs>
          <w:tab w:val="clear" w:pos="1296"/>
          <w:tab w:val="left" w:pos="1298" w:leader="none"/>
        </w:tabs>
        <w:spacing w:lineRule="auto" w:line="240" w:before="0" w:after="0"/>
        <w:ind w:firstLine="720"/>
        <w:contextualSpacing/>
        <w:jc w:val="center"/>
        <w:rPr>
          <w:rFonts w:ascii="Times New Roman" w:hAnsi="Times New Roman" w:cs="Times New Roman"/>
          <w:b/>
          <w:b/>
          <w:bCs/>
          <w:color w:val="000000" w:themeColor="text1"/>
          <w:sz w:val="24"/>
          <w:szCs w:val="24"/>
        </w:rPr>
      </w:pPr>
      <w:r>
        <w:rPr>
          <w:rFonts w:cs="Times New Roman" w:ascii="Times New Roman" w:hAnsi="Times New Roman"/>
          <w:b/>
          <w:bCs/>
          <w:color w:val="000000" w:themeColor="text1"/>
          <w:sz w:val="24"/>
          <w:szCs w:val="24"/>
        </w:rPr>
      </w:r>
    </w:p>
    <w:p>
      <w:pPr>
        <w:pStyle w:val="Normal"/>
        <w:tabs>
          <w:tab w:val="clear" w:pos="1296"/>
          <w:tab w:val="left" w:pos="1298" w:leader="none"/>
        </w:tabs>
        <w:spacing w:lineRule="auto" w:line="240" w:before="0" w:after="0"/>
        <w:ind w:firstLine="1134"/>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2025 m. programoje „Mokesta“ baigti darbai įvedant skolų išieškojimo perdavimą advokatų bendrijai „Linden“, todėl visiškai nemokių skolininkų skolas jau galima perduoti išieškoti teismo tvarka. Tai leidžia operatyviau dirbti su skolininkais. Prieš perduodami skolininkus teismui, jų  kontaktų ieškome socialiniuose tinkluose, informuojame apie susidariusias skolas. Dalis klientų, kurie išvykę į užsienio valstybes ir turi nekilnojamojo turto objektų Ignalinos rajone, net nežino apie SĮ „Kompata“ mokesčius. Naudojantis socialiniais tinklais tokie klientai surandami ir sumokamos skolos, su jais sudaromos individualios sutartys. </w:t>
      </w:r>
    </w:p>
    <w:p>
      <w:pPr>
        <w:pStyle w:val="Normal"/>
        <w:tabs>
          <w:tab w:val="clear" w:pos="1296"/>
          <w:tab w:val="left" w:pos="1298" w:leader="none"/>
        </w:tabs>
        <w:spacing w:lineRule="auto" w:line="240" w:before="0" w:after="0"/>
        <w:ind w:firstLine="1134"/>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Periodiškai gyventojams yra siunčiamos SMS žinutės, el. laiškai dėl skolų apmokėjimo. Tai yra prevencinė priemonė, patogi tiek Įmonei, tiek klientui, kol dar skola neišaugo. </w:t>
      </w:r>
    </w:p>
    <w:p>
      <w:pPr>
        <w:pStyle w:val="NoSpacing"/>
        <w:spacing w:before="0" w:after="0"/>
        <w:contextualSpacing/>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Spacing"/>
        <w:spacing w:before="0" w:after="0"/>
        <w:contextualSpacing/>
        <w:jc w:val="center"/>
        <w:rPr>
          <w:rFonts w:ascii="Times New Roman" w:hAnsi="Times New Roman" w:cs="Times New Roman"/>
          <w:b/>
          <w:b/>
          <w:bCs/>
          <w:sz w:val="24"/>
          <w:szCs w:val="24"/>
        </w:rPr>
      </w:pPr>
      <w:r>
        <w:rPr>
          <w:rFonts w:cs="Times New Roman" w:ascii="Times New Roman" w:hAnsi="Times New Roman"/>
          <w:b/>
          <w:bCs/>
          <w:sz w:val="24"/>
          <w:szCs w:val="24"/>
        </w:rPr>
        <w:t>IV SKYRIUS</w:t>
      </w:r>
    </w:p>
    <w:p>
      <w:pPr>
        <w:pStyle w:val="NoSpacing"/>
        <w:spacing w:before="0" w:after="0"/>
        <w:contextualSpacing/>
        <w:jc w:val="center"/>
        <w:rPr>
          <w:rFonts w:ascii="Times New Roman" w:hAnsi="Times New Roman" w:cs="Times New Roman"/>
          <w:b/>
          <w:b/>
          <w:bCs/>
          <w:sz w:val="24"/>
          <w:szCs w:val="24"/>
        </w:rPr>
      </w:pPr>
      <w:r>
        <w:rPr>
          <w:rFonts w:cs="Times New Roman" w:ascii="Times New Roman" w:hAnsi="Times New Roman"/>
          <w:b/>
          <w:bCs/>
          <w:sz w:val="24"/>
          <w:szCs w:val="24"/>
        </w:rPr>
        <w:t>TIKSLAI IR INVESTICIJOS 2026 METAMS</w:t>
      </w:r>
    </w:p>
    <w:p>
      <w:pPr>
        <w:pStyle w:val="NoSpacing"/>
        <w:spacing w:before="0" w:after="0"/>
        <w:contextualSpacing/>
        <w:jc w:val="center"/>
        <w:rPr>
          <w:rFonts w:ascii="Times New Roman" w:hAnsi="Times New Roman" w:cs="Times New Roman"/>
          <w:b/>
          <w:b/>
          <w:bCs/>
          <w:sz w:val="24"/>
          <w:szCs w:val="24"/>
        </w:rPr>
      </w:pPr>
      <w:r>
        <w:rPr>
          <w:rFonts w:cs="Times New Roman" w:ascii="Times New Roman" w:hAnsi="Times New Roman"/>
          <w:b/>
          <w:bCs/>
          <w:sz w:val="24"/>
          <w:szCs w:val="24"/>
        </w:rPr>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Pažymėti naujus įsigytus konteinerius el. kodais ir įvesti į programą</w:t>
        <w:br/>
        <w:t>„Asmlis“.</w:t>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Organizuoti atliekų vežimo vairuotojų mokymus dirbti su programinės įrangos</w:t>
        <w:br/>
        <w:t>„Asmlis“ planšetėmis.</w:t>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Gerinti skolų išieškojimą – perduoti skolų išieškojimo įmonei „Linden“ ne mažiau</w:t>
        <w:br/>
        <w:t>kaip 20 skolininkų  ir 2026 metais 10 proc., palyginti su 2025 metais, sumažinti debitorinius įsiskolinimus.</w:t>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 xml:space="preserve">Gerinti paslaugų kokybę atnaujinant įrangą – įsigyti 2 vejų robotus ir 1 profesionalų vejos pjovimo traktorių su žolės pjovimo mechanizmu. </w:t>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Užtikrinti atliekų tvarkymo sistemos atitiktį reglamentuojantiems teisės aktams – ne</w:t>
        <w:br/>
        <w:t>vėliau kaip iki 2026-11-30 parengti projektus ir pateikti tvirtinti Savivaldybės tarybai Savivaldybės atliekų tvarkymo taisykles, kainos skaičiavimo metodiką ir apskaičiuotus įkainius.</w:t>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Kontroliuoti teikiamų paslaugų įkainių ir rinkos atitiktį – įsigyti prieigą ir apmokyti darbuotojus dirbti su „Sistela“ programa.</w:t>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 xml:space="preserve">Dalyvauti ne mažiau kaip 2 mieste organizuojamuose renginiuose. </w:t>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Ne mažiau kaip kartą per savaitę atnaujinti informaciją Įmonės svetainėje</w:t>
        <w:br/>
        <w:t xml:space="preserve">www.kompata.lt ir socialiniame tinkle „Facebook“. </w:t>
      </w:r>
    </w:p>
    <w:p>
      <w:pPr>
        <w:pStyle w:val="ListParagraph"/>
        <w:numPr>
          <w:ilvl w:val="0"/>
          <w:numId w:val="1"/>
        </w:numPr>
        <w:tabs>
          <w:tab w:val="clear" w:pos="1296"/>
          <w:tab w:val="left" w:pos="1418"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Ne mažiau kaip 2 kartus per 2026 metus organizuoti ekskursiją gyventojams į URATC;</w:t>
      </w:r>
    </w:p>
    <w:p>
      <w:pPr>
        <w:pStyle w:val="ListParagraph"/>
        <w:numPr>
          <w:ilvl w:val="0"/>
          <w:numId w:val="1"/>
        </w:numPr>
        <w:tabs>
          <w:tab w:val="clear" w:pos="1296"/>
          <w:tab w:val="left" w:pos="1418" w:leader="none"/>
          <w:tab w:val="left" w:pos="1560"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Įgyvendinti projekto „Maisto (virtuvės) atliekų surinkimo priemonių plėtra Ignalinos</w:t>
        <w:br/>
        <w:t xml:space="preserve">rajono savivaldybėje“ priemones – sužymėti kodais gautus konteinerius, įvesti į sistemą pagal išdalytus adresus ir paruošti maistinių atliekų išvežimo iš individualių valdų grafikus. </w:t>
      </w:r>
    </w:p>
    <w:p>
      <w:pPr>
        <w:pStyle w:val="ListParagraph"/>
        <w:numPr>
          <w:ilvl w:val="0"/>
          <w:numId w:val="1"/>
        </w:numPr>
        <w:tabs>
          <w:tab w:val="clear" w:pos="1296"/>
          <w:tab w:val="left" w:pos="1418" w:leader="none"/>
          <w:tab w:val="left" w:pos="1560"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 xml:space="preserve">Didinti Įmonės teikiamų paslaugų apimtis – pasiūlyti gyventojams ir įmonėms ne mažiau kaip vieną naują paslaugą. </w:t>
      </w:r>
    </w:p>
    <w:p>
      <w:pPr>
        <w:pStyle w:val="ListParagraph"/>
        <w:widowControl w:val="false"/>
        <w:numPr>
          <w:ilvl w:val="0"/>
          <w:numId w:val="1"/>
        </w:numPr>
        <w:tabs>
          <w:tab w:val="clear" w:pos="1296"/>
          <w:tab w:val="left" w:pos="1418" w:leader="none"/>
          <w:tab w:val="left" w:pos="1560" w:leader="none"/>
        </w:tabs>
        <w:spacing w:lineRule="auto" w:line="240" w:before="0" w:after="0"/>
        <w:ind w:left="0" w:firstLine="1134"/>
        <w:contextualSpacing/>
        <w:jc w:val="both"/>
        <w:rPr>
          <w:rFonts w:ascii="Times New Roman" w:hAnsi="Times New Roman" w:cs="Times New Roman"/>
          <w:sz w:val="24"/>
          <w:szCs w:val="24"/>
        </w:rPr>
      </w:pPr>
      <w:r>
        <w:rPr>
          <w:rFonts w:cs="Times New Roman" w:ascii="Times New Roman" w:hAnsi="Times New Roman"/>
          <w:sz w:val="24"/>
          <w:szCs w:val="24"/>
        </w:rPr>
        <w:t>Organizuoti SKIA (Savivaldybių komunalinių įmonių asociacijos) metinį ataskaitinį susirinkimą ir svečių priėmimą rajone.</w:t>
      </w:r>
    </w:p>
    <w:p>
      <w:pPr>
        <w:pStyle w:val="Normal"/>
        <w:widowControl w:val="false"/>
        <w:tabs>
          <w:tab w:val="clear" w:pos="1296"/>
          <w:tab w:val="left" w:pos="1418" w:leader="none"/>
          <w:tab w:val="left" w:pos="1560" w:leader="none"/>
        </w:tabs>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tabs>
          <w:tab w:val="clear" w:pos="1296"/>
          <w:tab w:val="left" w:pos="1418" w:leader="none"/>
          <w:tab w:val="left" w:pos="1560" w:leader="none"/>
        </w:tabs>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___________</w:t>
      </w:r>
    </w:p>
    <w:sectPr>
      <w:type w:val="nextPage"/>
      <w:pgSz w:w="11906" w:h="16838"/>
      <w:pgMar w:left="1701" w:right="567" w:header="0" w:top="1134" w:footer="0" w:bottom="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1296"/>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396"/>
  <w:themeFontLang w:val="lt-L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lt-LT" w:eastAsia="en-US" w:bidi="ar-SA"/>
        <w14:ligatures w14:val="standardContextual"/>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705d83"/>
    <w:pPr>
      <w:widowControl/>
      <w:bidi w:val="0"/>
      <w:spacing w:lineRule="auto" w:line="254" w:before="0" w:after="160"/>
      <w:jc w:val="left"/>
    </w:pPr>
    <w:rPr>
      <w:rFonts w:ascii="Calibri" w:hAnsi="Calibri" w:eastAsia="Calibri" w:cs=""/>
      <w:color w:val="auto"/>
      <w:kern w:val="0"/>
      <w:sz w:val="22"/>
      <w:szCs w:val="22"/>
      <w:lang w:val="lt-LT" w:eastAsia="en-US" w:bidi="ar-SA"/>
      <w14:ligatures w14:val="none"/>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0059497f"/>
    <w:rPr>
      <w:color w:val="0563C1" w:themeColor="hyperlink"/>
      <w:u w:val="single"/>
    </w:rPr>
  </w:style>
  <w:style w:type="character" w:styleId="UnresolvedMention">
    <w:name w:val="Unresolved Mention"/>
    <w:basedOn w:val="DefaultParagraphFont"/>
    <w:uiPriority w:val="99"/>
    <w:semiHidden/>
    <w:unhideWhenUsed/>
    <w:qFormat/>
    <w:rsid w:val="0059497f"/>
    <w:rPr>
      <w:color w:val="605E5C"/>
      <w:shd w:fill="E1DFDD" w:val="clear"/>
    </w:rPr>
  </w:style>
  <w:style w:type="character" w:styleId="Strong">
    <w:name w:val="Strong"/>
    <w:basedOn w:val="DefaultParagraphFont"/>
    <w:uiPriority w:val="22"/>
    <w:qFormat/>
    <w:rsid w:val="00b8040d"/>
    <w:rPr>
      <w:b/>
      <w:bCs/>
    </w:rPr>
  </w:style>
  <w:style w:type="character" w:styleId="SraopastraipaDiagrama" w:customStyle="1">
    <w:name w:val="Sąrašo pastraipa Diagrama"/>
    <w:basedOn w:val="DefaultParagraphFont"/>
    <w:link w:val="Sraopastraipa"/>
    <w:uiPriority w:val="34"/>
    <w:qFormat/>
    <w:locked/>
    <w:rsid w:val="00770c20"/>
    <w:rPr>
      <w:kern w:val="0"/>
      <w14:ligatures w14:val="none"/>
    </w:rPr>
  </w:style>
  <w:style w:type="character" w:styleId="AntratsDiagrama" w:customStyle="1">
    <w:name w:val="Antraštės Diagrama"/>
    <w:basedOn w:val="DefaultParagraphFont"/>
    <w:link w:val="Antrats"/>
    <w:uiPriority w:val="99"/>
    <w:qFormat/>
    <w:rsid w:val="002a44b0"/>
    <w:rPr>
      <w:kern w:val="0"/>
      <w14:ligatures w14:val="none"/>
    </w:rPr>
  </w:style>
  <w:style w:type="character" w:styleId="PoratDiagrama" w:customStyle="1">
    <w:name w:val="Poraštė Diagrama"/>
    <w:basedOn w:val="DefaultParagraphFont"/>
    <w:link w:val="Porat"/>
    <w:uiPriority w:val="99"/>
    <w:qFormat/>
    <w:rsid w:val="002a44b0"/>
    <w:rPr>
      <w:kern w:val="0"/>
      <w14:ligatures w14:val="none"/>
    </w:rPr>
  </w:style>
  <w:style w:type="character" w:styleId="Annotationreference">
    <w:name w:val="annotation reference"/>
    <w:basedOn w:val="DefaultParagraphFont"/>
    <w:uiPriority w:val="99"/>
    <w:semiHidden/>
    <w:unhideWhenUsed/>
    <w:qFormat/>
    <w:rsid w:val="00fb6792"/>
    <w:rPr>
      <w:sz w:val="16"/>
      <w:szCs w:val="16"/>
    </w:rPr>
  </w:style>
  <w:style w:type="character" w:styleId="KomentarotekstasDiagrama" w:customStyle="1">
    <w:name w:val="Komentaro tekstas Diagrama"/>
    <w:basedOn w:val="DefaultParagraphFont"/>
    <w:link w:val="Komentarotekstas"/>
    <w:uiPriority w:val="99"/>
    <w:qFormat/>
    <w:rsid w:val="00fb6792"/>
    <w:rPr>
      <w:kern w:val="0"/>
      <w:sz w:val="20"/>
      <w:szCs w:val="20"/>
      <w14:ligatures w14:val="none"/>
    </w:rPr>
  </w:style>
  <w:style w:type="character" w:styleId="KomentarotemaDiagrama" w:customStyle="1">
    <w:name w:val="Komentaro tema Diagrama"/>
    <w:basedOn w:val="KomentarotekstasDiagrama"/>
    <w:link w:val="Komentarotema"/>
    <w:uiPriority w:val="99"/>
    <w:semiHidden/>
    <w:qFormat/>
    <w:rsid w:val="00fb6792"/>
    <w:rPr>
      <w:b/>
      <w:bCs/>
      <w:kern w:val="0"/>
      <w:sz w:val="20"/>
      <w:szCs w:val="20"/>
      <w14:ligatures w14:val="none"/>
    </w:rPr>
  </w:style>
  <w:style w:type="character" w:styleId="DebesliotekstasDiagrama" w:customStyle="1">
    <w:name w:val="Debesėlio tekstas Diagrama"/>
    <w:basedOn w:val="DefaultParagraphFont"/>
    <w:link w:val="Debesliotekstas"/>
    <w:uiPriority w:val="99"/>
    <w:semiHidden/>
    <w:qFormat/>
    <w:rsid w:val="00f9105a"/>
    <w:rPr>
      <w:rFonts w:ascii="Segoe UI" w:hAnsi="Segoe UI" w:cs="Segoe UI"/>
      <w:kern w:val="0"/>
      <w:sz w:val="18"/>
      <w:szCs w:val="18"/>
      <w14:ligatures w14:val="none"/>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link w:val="SraopastraipaDiagrama"/>
    <w:uiPriority w:val="34"/>
    <w:qFormat/>
    <w:rsid w:val="0099499b"/>
    <w:pPr>
      <w:spacing w:before="0" w:after="160"/>
      <w:ind w:left="720" w:hanging="0"/>
      <w:contextualSpacing/>
    </w:pPr>
    <w:rPr/>
  </w:style>
  <w:style w:type="paragraph" w:styleId="NormalWeb">
    <w:name w:val="Normal (Web)"/>
    <w:basedOn w:val="Normal"/>
    <w:uiPriority w:val="99"/>
    <w:semiHidden/>
    <w:unhideWhenUsed/>
    <w:qFormat/>
    <w:rsid w:val="004d21a5"/>
    <w:pPr/>
    <w:rPr>
      <w:rFonts w:ascii="Times New Roman" w:hAnsi="Times New Roman" w:cs="Times New Roman"/>
      <w:sz w:val="24"/>
      <w:szCs w:val="24"/>
    </w:rPr>
  </w:style>
  <w:style w:type="paragraph" w:styleId="NoSpacing">
    <w:name w:val="No Spacing"/>
    <w:uiPriority w:val="1"/>
    <w:qFormat/>
    <w:rsid w:val="000c2b18"/>
    <w:pPr>
      <w:widowControl/>
      <w:bidi w:val="0"/>
      <w:spacing w:lineRule="auto" w:line="240" w:before="0" w:after="0"/>
      <w:jc w:val="left"/>
    </w:pPr>
    <w:rPr>
      <w:rFonts w:ascii="Calibri" w:hAnsi="Calibri" w:eastAsia="Calibri" w:cs=""/>
      <w:color w:val="auto"/>
      <w:kern w:val="0"/>
      <w:sz w:val="22"/>
      <w:szCs w:val="22"/>
      <w:lang w:val="lt-LT" w:eastAsia="en-US" w:bidi="ar-SA"/>
      <w14:ligatures w14:val="none"/>
    </w:rPr>
  </w:style>
  <w:style w:type="paragraph" w:styleId="PreformattedText" w:customStyle="1">
    <w:name w:val="Preformatted Text"/>
    <w:basedOn w:val="Normal"/>
    <w:qFormat/>
    <w:rsid w:val="00554850"/>
    <w:pPr>
      <w:widowControl w:val="false"/>
      <w:suppressAutoHyphens w:val="true"/>
      <w:spacing w:lineRule="auto" w:line="240" w:before="0" w:after="0"/>
    </w:pPr>
    <w:rPr>
      <w:rFonts w:ascii="Liberation Mono" w:hAnsi="Liberation Mono" w:eastAsia="Liberation Mono" w:cs="Liberation Mono"/>
      <w:sz w:val="20"/>
      <w:szCs w:val="20"/>
      <w:lang w:val="en-US" w:eastAsia="zh-CN" w:bidi="hi-IN"/>
    </w:rPr>
  </w:style>
  <w:style w:type="paragraph" w:styleId="HeaderandFooter">
    <w:name w:val="Header and Footer"/>
    <w:basedOn w:val="Normal"/>
    <w:qFormat/>
    <w:pPr/>
    <w:rPr/>
  </w:style>
  <w:style w:type="paragraph" w:styleId="Header">
    <w:name w:val="Header"/>
    <w:basedOn w:val="Normal"/>
    <w:link w:val="AntratsDiagrama"/>
    <w:uiPriority w:val="99"/>
    <w:unhideWhenUsed/>
    <w:rsid w:val="002a44b0"/>
    <w:pPr>
      <w:tabs>
        <w:tab w:val="clear" w:pos="1296"/>
        <w:tab w:val="center" w:pos="4819" w:leader="none"/>
        <w:tab w:val="right" w:pos="9638" w:leader="none"/>
      </w:tabs>
      <w:spacing w:lineRule="auto" w:line="240" w:before="0" w:after="0"/>
    </w:pPr>
    <w:rPr/>
  </w:style>
  <w:style w:type="paragraph" w:styleId="Footer">
    <w:name w:val="Footer"/>
    <w:basedOn w:val="Normal"/>
    <w:link w:val="PoratDiagrama"/>
    <w:uiPriority w:val="99"/>
    <w:unhideWhenUsed/>
    <w:rsid w:val="002a44b0"/>
    <w:pPr>
      <w:tabs>
        <w:tab w:val="clear" w:pos="1296"/>
        <w:tab w:val="center" w:pos="4819" w:leader="none"/>
        <w:tab w:val="right" w:pos="9638" w:leader="none"/>
      </w:tabs>
      <w:spacing w:lineRule="auto" w:line="240" w:before="0" w:after="0"/>
    </w:pPr>
    <w:rPr/>
  </w:style>
  <w:style w:type="paragraph" w:styleId="Annotationtext">
    <w:name w:val="annotation text"/>
    <w:basedOn w:val="Normal"/>
    <w:link w:val="KomentarotekstasDiagrama"/>
    <w:uiPriority w:val="99"/>
    <w:unhideWhenUsed/>
    <w:qFormat/>
    <w:rsid w:val="00fb6792"/>
    <w:pPr>
      <w:spacing w:lineRule="auto" w:line="240"/>
    </w:pPr>
    <w:rPr>
      <w:sz w:val="20"/>
      <w:szCs w:val="20"/>
    </w:rPr>
  </w:style>
  <w:style w:type="paragraph" w:styleId="Annotationsubject">
    <w:name w:val="annotation subject"/>
    <w:basedOn w:val="Annotationtext"/>
    <w:next w:val="Annotationtext"/>
    <w:link w:val="KomentarotemaDiagrama"/>
    <w:uiPriority w:val="99"/>
    <w:semiHidden/>
    <w:unhideWhenUsed/>
    <w:qFormat/>
    <w:rsid w:val="00fb6792"/>
    <w:pPr/>
    <w:rPr>
      <w:b/>
      <w:bCs/>
    </w:rPr>
  </w:style>
  <w:style w:type="paragraph" w:styleId="BalloonText">
    <w:name w:val="Balloon Text"/>
    <w:basedOn w:val="Normal"/>
    <w:link w:val="DebesliotekstasDiagrama"/>
    <w:uiPriority w:val="99"/>
    <w:semiHidden/>
    <w:unhideWhenUsed/>
    <w:qFormat/>
    <w:rsid w:val="00f9105a"/>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prastojilentel">
    <w:name w:val="Normal Table"/>
    <w:uiPriority w:val="99"/>
    <w:semiHidden/>
    <w:unhideWhenUsed/>
    <w:tblPr>
      <w:tblCellMar>
        <w:top w:w="0" w:type="dxa"/>
        <w:left w:w="108" w:type="dxa"/>
        <w:bottom w:w="0" w:type="dxa"/>
        <w:right w:w="108" w:type="dxa"/>
      </w:tblCellMar>
    </w:tblPr>
  </w:style>
  <w:style w:type="table" w:styleId="Lentelstinklelis">
    <w:name w:val="Table Grid"/>
    <w:basedOn w:val="prastojilentel"/>
    <w:uiPriority w:val="39"/>
    <w:rsid w:val="008026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kompata.lt/" TargetMode="External"/><Relationship Id="rId3" Type="http://schemas.openxmlformats.org/officeDocument/2006/relationships/hyperlink" Target="http://www.kompata.lt/" TargetMode="Externa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hyperlink" Target="http://www.kompata.lt/"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lt-LT" sz="1200" spc="-1" strike="noStrike">
                <a:solidFill>
                  <a:srgbClr val="595959"/>
                </a:solidFill>
                <a:latin typeface="Times New Roman"/>
              </a:defRPr>
            </a:pPr>
            <a:r>
              <a:rPr b="0" lang="lt-LT" sz="1200" spc="-1" strike="noStrike">
                <a:solidFill>
                  <a:srgbClr val="595959"/>
                </a:solidFill>
                <a:latin typeface="Times New Roman"/>
              </a:rPr>
              <a:t>Pakuočių atliekų kiekiai</a:t>
            </a:r>
          </a:p>
        </c:rich>
      </c:tx>
      <c:overlay val="0"/>
      <c:spPr>
        <a:noFill/>
        <a:ln w="0">
          <a:noFill/>
        </a:ln>
      </c:spPr>
    </c:title>
    <c:autoTitleDeleted val="0"/>
    <c:plotArea>
      <c:barChart>
        <c:barDir val="col"/>
        <c:grouping val="clustered"/>
        <c:varyColors val="0"/>
        <c:ser>
          <c:idx val="0"/>
          <c:order val="0"/>
          <c:tx>
            <c:strRef>
              <c:f>label 0</c:f>
              <c:strCache>
                <c:ptCount val="1"/>
                <c:pt idx="0">
                  <c:v>20 01 02 01 STIKLAS</c:v>
                </c:pt>
              </c:strCache>
            </c:strRef>
          </c:tx>
          <c:spPr>
            <a:solidFill>
              <a:srgbClr val="4472c4"/>
            </a:solidFill>
            <a:ln w="0">
              <a:noFill/>
            </a:ln>
          </c:spPr>
          <c:invertIfNegative val="0"/>
          <c:dLbls>
            <c:txPr>
              <a:bodyPr wrap="none"/>
              <a:lstStyle/>
              <a:p>
                <a:pPr>
                  <a:defRPr b="0" sz="1000" spc="-1" strike="noStrike">
                    <a:solidFill>
                      <a:srgbClr val="000000"/>
                    </a:solidFill>
                    <a:latin typeface="Times New Roman"/>
                  </a:defRPr>
                </a:pPr>
              </a:p>
            </c:txPr>
            <c:dLblPos val="outEnd"/>
            <c:showLegendKey val="0"/>
            <c:showVal val="0"/>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2025 m.</c:v>
                </c:pt>
                <c:pt idx="1">
                  <c:v>2024 m.</c:v>
                </c:pt>
                <c:pt idx="2">
                  <c:v>2023 m.</c:v>
                </c:pt>
                <c:pt idx="3">
                  <c:v>2022 m.</c:v>
                </c:pt>
              </c:strCache>
            </c:strRef>
          </c:cat>
          <c:val>
            <c:numRef>
              <c:f>0</c:f>
              <c:numCache>
                <c:formatCode>General</c:formatCode>
                <c:ptCount val="4"/>
                <c:pt idx="0">
                  <c:v>117.82</c:v>
                </c:pt>
                <c:pt idx="1">
                  <c:v>110.16</c:v>
                </c:pt>
                <c:pt idx="2">
                  <c:v>151.4</c:v>
                </c:pt>
                <c:pt idx="3">
                  <c:v>126.52</c:v>
                </c:pt>
              </c:numCache>
            </c:numRef>
          </c:val>
        </c:ser>
        <c:ser>
          <c:idx val="1"/>
          <c:order val="1"/>
          <c:tx>
            <c:strRef>
              <c:f>label 1</c:f>
              <c:strCache>
                <c:ptCount val="1"/>
                <c:pt idx="0">
                  <c:v>20 01 39 01 PLASTIKAS</c:v>
                </c:pt>
              </c:strCache>
            </c:strRef>
          </c:tx>
          <c:spPr>
            <a:solidFill>
              <a:srgbClr val="ed7d31"/>
            </a:solidFill>
            <a:ln w="0">
              <a:noFill/>
            </a:ln>
          </c:spPr>
          <c:invertIfNegative val="0"/>
          <c:dLbls>
            <c:txPr>
              <a:bodyPr wrap="none"/>
              <a:lstStyle/>
              <a:p>
                <a:pPr>
                  <a:defRPr b="0" sz="1000" spc="-1" strike="noStrike">
                    <a:solidFill>
                      <a:srgbClr val="000000"/>
                    </a:solidFill>
                    <a:latin typeface="Times New Roman"/>
                  </a:defRPr>
                </a:pPr>
              </a:p>
            </c:txPr>
            <c:dLblPos val="outEnd"/>
            <c:showLegendKey val="0"/>
            <c:showVal val="0"/>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2025 m.</c:v>
                </c:pt>
                <c:pt idx="1">
                  <c:v>2024 m.</c:v>
                </c:pt>
                <c:pt idx="2">
                  <c:v>2023 m.</c:v>
                </c:pt>
                <c:pt idx="3">
                  <c:v>2022 m.</c:v>
                </c:pt>
              </c:strCache>
            </c:strRef>
          </c:cat>
          <c:val>
            <c:numRef>
              <c:f>1</c:f>
              <c:numCache>
                <c:formatCode>General</c:formatCode>
                <c:ptCount val="4"/>
                <c:pt idx="0">
                  <c:v>88.08</c:v>
                </c:pt>
                <c:pt idx="1">
                  <c:v>87.44</c:v>
                </c:pt>
                <c:pt idx="2">
                  <c:v>66.58</c:v>
                </c:pt>
                <c:pt idx="3">
                  <c:v>70.44</c:v>
                </c:pt>
              </c:numCache>
            </c:numRef>
          </c:val>
        </c:ser>
        <c:ser>
          <c:idx val="2"/>
          <c:order val="2"/>
          <c:tx>
            <c:strRef>
              <c:f>label 2</c:f>
              <c:strCache>
                <c:ptCount val="1"/>
                <c:pt idx="0">
                  <c:v>20 01 01 01 POPIERIUS</c:v>
                </c:pt>
              </c:strCache>
            </c:strRef>
          </c:tx>
          <c:spPr>
            <a:solidFill>
              <a:srgbClr val="a5a5a5"/>
            </a:solidFill>
            <a:ln w="0">
              <a:noFill/>
            </a:ln>
          </c:spPr>
          <c:invertIfNegative val="0"/>
          <c:dLbls>
            <c:txPr>
              <a:bodyPr wrap="none"/>
              <a:lstStyle/>
              <a:p>
                <a:pPr>
                  <a:defRPr b="0" sz="1000" spc="-1" strike="noStrike">
                    <a:solidFill>
                      <a:srgbClr val="000000"/>
                    </a:solidFill>
                    <a:latin typeface="Times New Roman"/>
                  </a:defRPr>
                </a:pPr>
              </a:p>
            </c:txPr>
            <c:dLblPos val="outEnd"/>
            <c:showLegendKey val="0"/>
            <c:showVal val="0"/>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2025 m.</c:v>
                </c:pt>
                <c:pt idx="1">
                  <c:v>2024 m.</c:v>
                </c:pt>
                <c:pt idx="2">
                  <c:v>2023 m.</c:v>
                </c:pt>
                <c:pt idx="3">
                  <c:v>2022 m.</c:v>
                </c:pt>
              </c:strCache>
            </c:strRef>
          </c:cat>
          <c:val>
            <c:numRef>
              <c:f>2</c:f>
              <c:numCache>
                <c:formatCode>General</c:formatCode>
                <c:ptCount val="4"/>
                <c:pt idx="0">
                  <c:v>69.5</c:v>
                </c:pt>
                <c:pt idx="1">
                  <c:v>47.98</c:v>
                </c:pt>
                <c:pt idx="2">
                  <c:v>44.98</c:v>
                </c:pt>
                <c:pt idx="3">
                  <c:v>41.04</c:v>
                </c:pt>
              </c:numCache>
            </c:numRef>
          </c:val>
        </c:ser>
        <c:ser>
          <c:idx val="3"/>
          <c:order val="3"/>
          <c:tx>
            <c:strRef>
              <c:f>label 3</c:f>
              <c:strCache>
                <c:ptCount val="1"/>
                <c:pt idx="0">
                  <c:v>Pakuotės IND 20 01 99 02</c:v>
                </c:pt>
              </c:strCache>
            </c:strRef>
          </c:tx>
          <c:spPr>
            <a:solidFill>
              <a:srgbClr val="ffc000"/>
            </a:solidFill>
            <a:ln w="0">
              <a:noFill/>
            </a:ln>
          </c:spPr>
          <c:invertIfNegative val="0"/>
          <c:dLbls>
            <c:txPr>
              <a:bodyPr wrap="none"/>
              <a:lstStyle/>
              <a:p>
                <a:pPr>
                  <a:defRPr b="0" sz="1000" spc="-1" strike="noStrike">
                    <a:solidFill>
                      <a:srgbClr val="000000"/>
                    </a:solidFill>
                    <a:latin typeface="Times New Roman"/>
                  </a:defRPr>
                </a:pPr>
              </a:p>
            </c:txPr>
            <c:dLblPos val="outEnd"/>
            <c:showLegendKey val="0"/>
            <c:showVal val="0"/>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2025 m.</c:v>
                </c:pt>
                <c:pt idx="1">
                  <c:v>2024 m.</c:v>
                </c:pt>
                <c:pt idx="2">
                  <c:v>2023 m.</c:v>
                </c:pt>
                <c:pt idx="3">
                  <c:v>2022 m.</c:v>
                </c:pt>
              </c:strCache>
            </c:strRef>
          </c:cat>
          <c:val>
            <c:numRef>
              <c:f>3</c:f>
              <c:numCache>
                <c:formatCode>General</c:formatCode>
                <c:ptCount val="4"/>
                <c:pt idx="0">
                  <c:v>206.5</c:v>
                </c:pt>
                <c:pt idx="1">
                  <c:v>163.68</c:v>
                </c:pt>
                <c:pt idx="2">
                  <c:v>110.98</c:v>
                </c:pt>
                <c:pt idx="3">
                  <c:v>96.42</c:v>
                </c:pt>
              </c:numCache>
            </c:numRef>
          </c:val>
        </c:ser>
        <c:ser>
          <c:idx val="4"/>
          <c:order val="4"/>
          <c:tx>
            <c:strRef>
              <c:f>label 4</c:f>
              <c:strCache>
                <c:ptCount val="1"/>
                <c:pt idx="0">
                  <c:v>Stiklo pakuotės IND 20 01 02 02</c:v>
                </c:pt>
              </c:strCache>
            </c:strRef>
          </c:tx>
          <c:spPr>
            <a:solidFill>
              <a:srgbClr val="5b9bd5"/>
            </a:solidFill>
            <a:ln w="0">
              <a:noFill/>
            </a:ln>
          </c:spPr>
          <c:invertIfNegative val="0"/>
          <c:dLbls>
            <c:txPr>
              <a:bodyPr wrap="none"/>
              <a:lstStyle/>
              <a:p>
                <a:pPr>
                  <a:defRPr b="0" sz="1000" spc="-1" strike="noStrike">
                    <a:solidFill>
                      <a:srgbClr val="000000"/>
                    </a:solidFill>
                    <a:latin typeface="Times New Roman"/>
                  </a:defRPr>
                </a:pPr>
              </a:p>
            </c:txPr>
            <c:dLblPos val="outEnd"/>
            <c:showLegendKey val="0"/>
            <c:showVal val="0"/>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2025 m.</c:v>
                </c:pt>
                <c:pt idx="1">
                  <c:v>2024 m.</c:v>
                </c:pt>
                <c:pt idx="2">
                  <c:v>2023 m.</c:v>
                </c:pt>
                <c:pt idx="3">
                  <c:v>2022 m.</c:v>
                </c:pt>
              </c:strCache>
            </c:strRef>
          </c:cat>
          <c:val>
            <c:numRef>
              <c:f>4</c:f>
              <c:numCache>
                <c:formatCode>General</c:formatCode>
                <c:ptCount val="4"/>
                <c:pt idx="0">
                  <c:v>135.26</c:v>
                </c:pt>
                <c:pt idx="1">
                  <c:v>105.46</c:v>
                </c:pt>
                <c:pt idx="2">
                  <c:v>39.48</c:v>
                </c:pt>
              </c:numCache>
            </c:numRef>
          </c:val>
        </c:ser>
        <c:ser>
          <c:idx val="5"/>
          <c:order val="5"/>
          <c:tx>
            <c:strRef>
              <c:f>label 5</c:f>
              <c:strCache>
                <c:ptCount val="1"/>
                <c:pt idx="0">
                  <c:v>VISO</c:v>
                </c:pt>
              </c:strCache>
            </c:strRef>
          </c:tx>
          <c:spPr>
            <a:solidFill>
              <a:srgbClr val="70ad47"/>
            </a:solidFill>
            <a:ln w="0">
              <a:noFill/>
            </a:ln>
          </c:spPr>
          <c:invertIfNegative val="0"/>
          <c:dLbls>
            <c:txPr>
              <a:bodyPr wrap="none"/>
              <a:lstStyle/>
              <a:p>
                <a:pPr>
                  <a:defRPr b="0" sz="1000" spc="-1" strike="noStrike">
                    <a:solidFill>
                      <a:srgbClr val="000000"/>
                    </a:solidFill>
                    <a:latin typeface="Times New Roman"/>
                  </a:defRPr>
                </a:pPr>
              </a:p>
            </c:txPr>
            <c:dLblPos val="outEnd"/>
            <c:showLegendKey val="0"/>
            <c:showVal val="0"/>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2025 m.</c:v>
                </c:pt>
                <c:pt idx="1">
                  <c:v>2024 m.</c:v>
                </c:pt>
                <c:pt idx="2">
                  <c:v>2023 m.</c:v>
                </c:pt>
                <c:pt idx="3">
                  <c:v>2022 m.</c:v>
                </c:pt>
              </c:strCache>
            </c:strRef>
          </c:cat>
          <c:val>
            <c:numRef>
              <c:f>5</c:f>
              <c:numCache>
                <c:formatCode>General</c:formatCode>
                <c:ptCount val="4"/>
                <c:pt idx="0">
                  <c:v>617.16</c:v>
                </c:pt>
                <c:pt idx="1">
                  <c:v>514.72</c:v>
                </c:pt>
                <c:pt idx="2">
                  <c:v>413.42</c:v>
                </c:pt>
                <c:pt idx="3">
                  <c:v>334.42</c:v>
                </c:pt>
              </c:numCache>
            </c:numRef>
          </c:val>
        </c:ser>
        <c:gapWidth val="219"/>
        <c:overlap val="-27"/>
        <c:axId val="6766994"/>
        <c:axId val="64467957"/>
      </c:barChart>
      <c:catAx>
        <c:axId val="6766994"/>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0" sz="900" spc="-1" strike="noStrike">
                <a:solidFill>
                  <a:srgbClr val="595959"/>
                </a:solidFill>
                <a:latin typeface="Times New Roman"/>
              </a:defRPr>
            </a:pPr>
          </a:p>
        </c:txPr>
        <c:crossAx val="64467957"/>
        <c:crosses val="autoZero"/>
        <c:auto val="1"/>
        <c:lblAlgn val="ctr"/>
        <c:lblOffset val="100"/>
        <c:noMultiLvlLbl val="0"/>
      </c:catAx>
      <c:valAx>
        <c:axId val="64467957"/>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Times New Roman"/>
              </a:defRPr>
            </a:pPr>
          </a:p>
        </c:txPr>
        <c:crossAx val="6766994"/>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Times New Roman"/>
            </a:defRPr>
          </a:pPr>
        </a:p>
      </c:txPr>
    </c:legend>
    <c:plotVisOnly val="1"/>
    <c:dispBlanksAs val="gap"/>
  </c:chart>
  <c:spPr>
    <a:solidFill>
      <a:srgbClr val="ffffff"/>
    </a:solidFill>
    <a:ln w="9360">
      <a:solidFill>
        <a:srgbClr val="d9d9d9"/>
      </a:solidFill>
      <a:round/>
    </a:ln>
  </c:spPr>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lt-LT" sz="1200" spc="-1" strike="noStrike">
                <a:solidFill>
                  <a:srgbClr val="595959"/>
                </a:solidFill>
                <a:latin typeface="Calibri"/>
              </a:defRPr>
            </a:pPr>
            <a:r>
              <a:rPr b="0" lang="lt-LT" sz="1200" spc="-1" strike="noStrike">
                <a:solidFill>
                  <a:srgbClr val="595959"/>
                </a:solidFill>
                <a:latin typeface="Calibri"/>
              </a:rPr>
              <a:t>Mišrios komunalinės atliekos 2022–2025 m. </a:t>
            </a:r>
          </a:p>
        </c:rich>
      </c:tx>
      <c:overlay val="0"/>
      <c:spPr>
        <a:noFill/>
        <a:ln w="0">
          <a:noFill/>
        </a:ln>
      </c:spPr>
    </c:title>
    <c:autoTitleDeleted val="0"/>
    <c:view3D>
      <c:rotX val="15"/>
      <c:rotY val="20"/>
      <c:rAngAx val="1"/>
      <c:perspective val="30"/>
    </c:view3D>
    <c:floor>
      <c:spPr>
        <a:noFill/>
        <a:ln w="6480">
          <a:noFill/>
        </a:ln>
      </c:spPr>
    </c:floor>
    <c:sideWall>
      <c:spPr>
        <a:noFill/>
        <a:ln w="6480">
          <a:noFill/>
        </a:ln>
      </c:spPr>
    </c:sideWall>
    <c:backWall>
      <c:spPr>
        <a:noFill/>
        <a:ln w="6480">
          <a:noFill/>
        </a:ln>
      </c:spPr>
    </c:backWall>
    <c:plotArea>
      <c:bar3DChart>
        <c:barDir val="col"/>
        <c:grouping val="clustered"/>
        <c:varyColors val="0"/>
        <c:ser>
          <c:idx val="0"/>
          <c:order val="0"/>
          <c:tx>
            <c:strRef>
              <c:f>label 0</c:f>
              <c:strCache>
                <c:ptCount val="1"/>
                <c:pt idx="0">
                  <c:v>Series1</c:v>
                </c:pt>
              </c:strCache>
            </c:strRef>
          </c:tx>
          <c:spPr>
            <a:solidFill>
              <a:srgbClr val="4472c4"/>
            </a:solidFill>
            <a:ln w="0">
              <a:noFill/>
            </a:ln>
          </c:spPr>
          <c:invertIfNegative val="0"/>
          <c:dPt>
            <c:idx val="0"/>
            <c:invertIfNegative val="0"/>
            <c:spPr>
              <a:solidFill>
                <a:srgbClr val="4472c4"/>
              </a:solidFill>
              <a:ln w="0">
                <a:noFill/>
              </a:ln>
            </c:spPr>
          </c:dPt>
          <c:dPt>
            <c:idx val="1"/>
            <c:invertIfNegative val="0"/>
            <c:spPr>
              <a:solidFill>
                <a:srgbClr val="4472c4"/>
              </a:solidFill>
              <a:ln w="0">
                <a:noFill/>
              </a:ln>
            </c:spPr>
          </c:dPt>
          <c:dPt>
            <c:idx val="2"/>
            <c:invertIfNegative val="0"/>
            <c:spPr>
              <a:solidFill>
                <a:srgbClr val="4472c4"/>
              </a:solidFill>
              <a:ln w="0">
                <a:noFill/>
              </a:ln>
            </c:spPr>
          </c:dPt>
          <c:dPt>
            <c:idx val="3"/>
            <c:invertIfNegative val="0"/>
            <c:spPr>
              <a:solidFill>
                <a:srgbClr val="4472c4"/>
              </a:solidFill>
              <a:ln w="0">
                <a:noFill/>
              </a:ln>
            </c:spPr>
          </c:dPt>
          <c:dLbls>
            <c:numFmt formatCode="General" sourceLinked="0"/>
            <c:dLbl>
              <c:idx val="0"/>
              <c:layout>
                <c:manualLayout>
                  <c:x val="0.00277777777777778"/>
                  <c:y val="-0.0324074074074074"/>
                </c:manualLayout>
              </c:layout>
              <c:numFmt formatCode="General" sourceLinked="0"/>
              <c:txPr>
                <a:bodyPr wrap="square"/>
                <a:lstStyle/>
                <a:p>
                  <a:pPr>
                    <a:defRPr b="0" sz="900" spc="-1" strike="noStrike">
                      <a:solidFill>
                        <a:srgbClr val="404040"/>
                      </a:solidFill>
                      <a:latin typeface="Calibri"/>
                    </a:defRPr>
                  </a:pPr>
                </a:p>
              </c:txPr>
              <c:showLegendKey val="0"/>
              <c:showVal val="1"/>
              <c:showCatName val="0"/>
              <c:showSerName val="0"/>
              <c:showPercent val="0"/>
              <c:separator>; </c:separator>
            </c:dLbl>
            <c:dLbl>
              <c:idx val="1"/>
              <c:layout>
                <c:manualLayout>
                  <c:x val="0.00555555555555556"/>
                  <c:y val="-0.0462962962962963"/>
                </c:manualLayout>
              </c:layout>
              <c:numFmt formatCode="General" sourceLinked="0"/>
              <c:txPr>
                <a:bodyPr wrap="square"/>
                <a:lstStyle/>
                <a:p>
                  <a:pPr>
                    <a:defRPr b="0" sz="900" spc="-1" strike="noStrike">
                      <a:solidFill>
                        <a:srgbClr val="404040"/>
                      </a:solidFill>
                      <a:latin typeface="Calibri"/>
                    </a:defRPr>
                  </a:pPr>
                </a:p>
              </c:txPr>
              <c:showLegendKey val="0"/>
              <c:showVal val="1"/>
              <c:showCatName val="0"/>
              <c:showSerName val="0"/>
              <c:showPercent val="0"/>
              <c:separator>; </c:separator>
            </c:dLbl>
            <c:dLbl>
              <c:idx val="2"/>
              <c:layout>
                <c:manualLayout>
                  <c:x val="0.00833333333333333"/>
                  <c:y val="-0.0555555555555556"/>
                </c:manualLayout>
              </c:layout>
              <c:numFmt formatCode="General" sourceLinked="0"/>
              <c:txPr>
                <a:bodyPr wrap="square"/>
                <a:lstStyle/>
                <a:p>
                  <a:pPr>
                    <a:defRPr b="0" sz="900" spc="-1" strike="noStrike">
                      <a:solidFill>
                        <a:srgbClr val="404040"/>
                      </a:solidFill>
                      <a:latin typeface="Calibri"/>
                    </a:defRPr>
                  </a:pPr>
                </a:p>
              </c:txPr>
              <c:showLegendKey val="0"/>
              <c:showVal val="1"/>
              <c:showCatName val="0"/>
              <c:showSerName val="0"/>
              <c:showPercent val="0"/>
              <c:separator>; </c:separator>
            </c:dLbl>
            <c:dLbl>
              <c:idx val="3"/>
              <c:layout>
                <c:manualLayout>
                  <c:x val="0.0111111111111111"/>
                  <c:y val="-0.0833333333333333"/>
                </c:manualLayout>
              </c:layout>
              <c:numFmt formatCode="General" sourceLinked="0"/>
              <c:txPr>
                <a:bodyPr wrap="square"/>
                <a:lstStyle/>
                <a:p>
                  <a:pPr>
                    <a:defRPr b="0"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2022 m.</c:v>
                </c:pt>
                <c:pt idx="1">
                  <c:v>2023 m.</c:v>
                </c:pt>
                <c:pt idx="2">
                  <c:v>2024 m.</c:v>
                </c:pt>
                <c:pt idx="3">
                  <c:v>2025 m.</c:v>
                </c:pt>
              </c:strCache>
            </c:strRef>
          </c:cat>
          <c:val>
            <c:numRef>
              <c:f>0</c:f>
              <c:numCache>
                <c:formatCode>General</c:formatCode>
                <c:ptCount val="4"/>
                <c:pt idx="0">
                  <c:v>2839.41</c:v>
                </c:pt>
                <c:pt idx="1">
                  <c:v>2810.3</c:v>
                </c:pt>
                <c:pt idx="2">
                  <c:v>2610.94</c:v>
                </c:pt>
                <c:pt idx="3">
                  <c:v>2475.92</c:v>
                </c:pt>
              </c:numCache>
            </c:numRef>
          </c:val>
        </c:ser>
        <c:gapWidth val="150"/>
        <c:shape val="box"/>
        <c:axId val="59461979"/>
        <c:axId val="84343298"/>
        <c:axId val="0"/>
      </c:bar3DChart>
      <c:catAx>
        <c:axId val="59461979"/>
        <c:scaling>
          <c:orientation val="minMax"/>
        </c:scaling>
        <c:delete val="0"/>
        <c:axPos val="b"/>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84343298"/>
        <c:crosses val="autoZero"/>
        <c:auto val="1"/>
        <c:lblAlgn val="ctr"/>
        <c:lblOffset val="100"/>
        <c:noMultiLvlLbl val="0"/>
      </c:catAx>
      <c:valAx>
        <c:axId val="84343298"/>
        <c:scaling>
          <c:orientation val="minMax"/>
        </c:scaling>
        <c:delete val="0"/>
        <c:axPos val="l"/>
        <c:majorGridlines>
          <c:spPr>
            <a:ln w="9360">
              <a:solidFill>
                <a:srgbClr val="d9d9d9"/>
              </a:solidFill>
              <a:round/>
            </a:ln>
          </c:spPr>
        </c:majorGridlines>
        <c:title>
          <c:tx>
            <c:rich>
              <a:bodyPr rot="-5400000"/>
              <a:lstStyle/>
              <a:p>
                <a:pPr>
                  <a:defRPr b="0" lang="lt-LT" sz="1000" spc="-1" strike="noStrike">
                    <a:solidFill>
                      <a:srgbClr val="595959"/>
                    </a:solidFill>
                    <a:latin typeface="Calibri"/>
                  </a:defRPr>
                </a:pPr>
                <a:r>
                  <a:rPr b="0" lang="lt-LT" sz="1000" spc="-1" strike="noStrike">
                    <a:solidFill>
                      <a:srgbClr val="595959"/>
                    </a:solidFill>
                    <a:latin typeface="Calibri"/>
                  </a:rPr>
                  <a:t>Atliekų kiekis tonomis</a:t>
                </a:r>
              </a:p>
            </c:rich>
          </c:tx>
          <c:overlay val="0"/>
          <c:spPr>
            <a:noFill/>
            <a:ln w="0">
              <a:noFill/>
            </a:ln>
          </c:spPr>
        </c:title>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59461979"/>
        <c:crosses val="autoZero"/>
        <c:crossBetween val="between"/>
      </c:valAx>
    </c:plotArea>
    <c:plotVisOnly val="1"/>
    <c:dispBlanksAs val="gap"/>
  </c:chart>
  <c:spPr>
    <a:solidFill>
      <a:srgbClr val="ffffff"/>
    </a:solidFill>
    <a:ln w="9360">
      <a:solidFill>
        <a:srgbClr val="d9d9d9"/>
      </a:solidFill>
      <a:round/>
    </a:ln>
  </c:spPr>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1C98D-F8EB-4849-AF65-D71F49A0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LibreOffice/7.0.0.3$Windows_X86_64 LibreOffice_project/8061b3e9204bef6b321a21033174034a5e2ea88e</Application>
  <Pages>10</Pages>
  <Words>3296</Words>
  <Characters>21609</Characters>
  <CharactersWithSpaces>24484</CharactersWithSpaces>
  <Paragraphs>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2026-05-11T06:39:00Z</dcterms:created>
  <dc:creator>Iveta Lukijanskienė</dc:creator>
  <dc:description/>
  <dc:language>lt-LT</dc:language>
  <cp:lastModifiedBy>Neringa Čiuželė</cp:lastModifiedBy>
  <cp:lastPrinted>2026-04-14T10:26:00Z</cp:lastPrinted>
  <dcterms:modified xsi:type="dcterms:W3CDTF">2026-05-11T06:39:00Z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