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BBB1B6" w14:textId="77777777" w:rsidR="00C97F5F" w:rsidRDefault="00CF3E2E">
      <w:pPr>
        <w:tabs>
          <w:tab w:val="clear" w:pos="1293"/>
        </w:tabs>
        <w:jc w:val="center"/>
        <w:rPr>
          <w:lang w:val="lt-LT"/>
        </w:rPr>
      </w:pPr>
      <w:r>
        <w:rPr>
          <w:noProof/>
        </w:rPr>
        <w:drawing>
          <wp:inline distT="0" distB="0" distL="0" distR="0" wp14:anchorId="12807F84" wp14:editId="66A8B01C">
            <wp:extent cx="581025" cy="73342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pic:cNvPicPr>
                      <a:picLocks noChangeAspect="1" noChangeArrowheads="1"/>
                    </pic:cNvPicPr>
                  </pic:nvPicPr>
                  <pic:blipFill>
                    <a:blip r:embed="rId6"/>
                    <a:stretch>
                      <a:fillRect/>
                    </a:stretch>
                  </pic:blipFill>
                  <pic:spPr bwMode="auto">
                    <a:xfrm>
                      <a:off x="0" y="0"/>
                      <a:ext cx="581025" cy="733425"/>
                    </a:xfrm>
                    <a:prstGeom prst="rect">
                      <a:avLst/>
                    </a:prstGeom>
                  </pic:spPr>
                </pic:pic>
              </a:graphicData>
            </a:graphic>
          </wp:inline>
        </w:drawing>
      </w:r>
    </w:p>
    <w:p w14:paraId="4A9D677C" w14:textId="77777777" w:rsidR="00C97F5F" w:rsidRDefault="00C97F5F">
      <w:pPr>
        <w:tabs>
          <w:tab w:val="clear" w:pos="1293"/>
        </w:tabs>
        <w:jc w:val="center"/>
        <w:rPr>
          <w:lang w:val="lt-LT"/>
        </w:rPr>
      </w:pPr>
    </w:p>
    <w:p w14:paraId="1397EE1F" w14:textId="77777777" w:rsidR="00C97F5F" w:rsidRDefault="00CF3E2E">
      <w:pPr>
        <w:tabs>
          <w:tab w:val="clear" w:pos="1293"/>
        </w:tabs>
        <w:jc w:val="center"/>
        <w:rPr>
          <w:b/>
          <w:lang w:val="lt-LT"/>
        </w:rPr>
      </w:pPr>
      <w:r>
        <w:rPr>
          <w:b/>
          <w:lang w:val="lt-LT"/>
        </w:rPr>
        <w:t>IGNALINOS RAJONO SAVIVALDYBĖS MERAS</w:t>
      </w:r>
    </w:p>
    <w:p w14:paraId="4696C838" w14:textId="77777777" w:rsidR="00C97F5F" w:rsidRDefault="00C97F5F">
      <w:pPr>
        <w:tabs>
          <w:tab w:val="clear" w:pos="1293"/>
        </w:tabs>
        <w:jc w:val="center"/>
        <w:rPr>
          <w:b/>
          <w:lang w:val="lt-LT"/>
        </w:rPr>
      </w:pPr>
    </w:p>
    <w:p w14:paraId="218BE596" w14:textId="77777777" w:rsidR="00C97F5F" w:rsidRDefault="00CF3E2E">
      <w:pPr>
        <w:tabs>
          <w:tab w:val="clear" w:pos="1293"/>
        </w:tabs>
        <w:jc w:val="center"/>
        <w:rPr>
          <w:lang w:val="lt-LT"/>
        </w:rPr>
      </w:pPr>
      <w:r>
        <w:rPr>
          <w:lang w:val="lt-LT"/>
        </w:rPr>
        <w:t xml:space="preserve">Laisvės a. 70, LT-30122 Ignalina, tel.: (8 386) 5 24 42, 5 20 96, </w:t>
      </w:r>
    </w:p>
    <w:p w14:paraId="0EF36BC9" w14:textId="77777777" w:rsidR="00C97F5F" w:rsidRDefault="00CF3E2E">
      <w:pPr>
        <w:tabs>
          <w:tab w:val="clear" w:pos="1293"/>
        </w:tabs>
        <w:jc w:val="center"/>
        <w:rPr>
          <w:lang w:val="lt-LT"/>
        </w:rPr>
      </w:pPr>
      <w:r>
        <w:rPr>
          <w:lang w:val="lt-LT"/>
        </w:rPr>
        <w:t xml:space="preserve">el. paštas </w:t>
      </w:r>
      <w:hyperlink r:id="rId7">
        <w:r>
          <w:rPr>
            <w:rStyle w:val="Internetosaitas"/>
            <w:lang w:val="lt-LT"/>
          </w:rPr>
          <w:t>info@ignalina.lt</w:t>
        </w:r>
      </w:hyperlink>
      <w:r>
        <w:rPr>
          <w:lang w:val="lt-LT"/>
        </w:rPr>
        <w:t xml:space="preserve">, puslapis internete </w:t>
      </w:r>
      <w:hyperlink r:id="rId8">
        <w:r>
          <w:rPr>
            <w:rStyle w:val="Internetosaitas"/>
            <w:lang w:val="lt-LT"/>
          </w:rPr>
          <w:t>www.ignalina.lt</w:t>
        </w:r>
      </w:hyperlink>
      <w:r>
        <w:rPr>
          <w:lang w:val="lt-LT"/>
        </w:rPr>
        <w:t xml:space="preserve"> </w:t>
      </w:r>
    </w:p>
    <w:p w14:paraId="2B7AABA7" w14:textId="77777777" w:rsidR="00C97F5F" w:rsidRDefault="00CF3E2E">
      <w:pPr>
        <w:tabs>
          <w:tab w:val="clear" w:pos="1293"/>
        </w:tabs>
        <w:rPr>
          <w:lang w:val="lt-LT"/>
        </w:rPr>
      </w:pPr>
      <w:r>
        <w:rPr>
          <w:noProof/>
          <w:lang w:val="lt-LT"/>
        </w:rPr>
        <mc:AlternateContent>
          <mc:Choice Requires="wps">
            <w:drawing>
              <wp:anchor distT="0" distB="0" distL="0" distR="0" simplePos="0" relativeHeight="3" behindDoc="0" locked="0" layoutInCell="0" allowOverlap="1" wp14:anchorId="7079151C" wp14:editId="702BC56F">
                <wp:simplePos x="0" y="0"/>
                <wp:positionH relativeFrom="column">
                  <wp:posOffset>0</wp:posOffset>
                </wp:positionH>
                <wp:positionV relativeFrom="paragraph">
                  <wp:posOffset>85725</wp:posOffset>
                </wp:positionV>
                <wp:extent cx="6120765" cy="1270"/>
                <wp:effectExtent l="0" t="0" r="0" b="0"/>
                <wp:wrapNone/>
                <wp:docPr id="2" name="Line 2"/>
                <wp:cNvGraphicFramePr/>
                <a:graphic xmlns:a="http://schemas.openxmlformats.org/drawingml/2006/main">
                  <a:graphicData uri="http://schemas.microsoft.com/office/word/2010/wordprocessingShape">
                    <wps:wsp>
                      <wps:cNvCnPr/>
                      <wps:spPr>
                        <a:xfrm>
                          <a:off x="0" y="0"/>
                          <a:ext cx="6120000" cy="0"/>
                        </a:xfrm>
                        <a:prstGeom prst="line">
                          <a:avLst/>
                        </a:prstGeom>
                        <a:ln w="9525">
                          <a:noFill/>
                        </a:ln>
                      </wps:spPr>
                      <wps:style>
                        <a:lnRef idx="0">
                          <a:scrgbClr r="0" g="0" b="0"/>
                        </a:lnRef>
                        <a:fillRef idx="0">
                          <a:scrgbClr r="0" g="0" b="0"/>
                        </a:fillRef>
                        <a:effectRef idx="0">
                          <a:scrgbClr r="0" g="0" b="0"/>
                        </a:effectRef>
                        <a:fontRef idx="minor"/>
                      </wps:style>
                      <wps:bodyPr/>
                    </wps:wsp>
                  </a:graphicData>
                </a:graphic>
              </wp:anchor>
            </w:drawing>
          </mc:Choice>
          <mc:Fallback>
            <w:pict>
              <v:line id="shape_0" from="0pt,6.75pt" to="481.85pt,6.75pt" ID="Line 2" stroked="f" style="position:absolute">
                <v:stroke color="#3465a4" weight="9360" joinstyle="round" endcap="flat"/>
                <v:fill o:detectmouseclick="t" on="false"/>
              </v:line>
            </w:pict>
          </mc:Fallback>
        </mc:AlternateContent>
      </w:r>
    </w:p>
    <w:p w14:paraId="1C17F0E6" w14:textId="77777777" w:rsidR="00C97F5F" w:rsidRDefault="00C97F5F">
      <w:pPr>
        <w:sectPr w:rsidR="00C97F5F">
          <w:headerReference w:type="default" r:id="rId9"/>
          <w:footerReference w:type="default" r:id="rId10"/>
          <w:pgSz w:w="11906" w:h="16838"/>
          <w:pgMar w:top="1134" w:right="567" w:bottom="1134" w:left="1701" w:header="567" w:footer="574" w:gutter="0"/>
          <w:cols w:space="1296"/>
          <w:formProt w:val="0"/>
          <w:docGrid w:linePitch="360"/>
        </w:sectPr>
      </w:pPr>
    </w:p>
    <w:p w14:paraId="5D81691E" w14:textId="77777777" w:rsidR="00C97F5F" w:rsidRDefault="00CF3E2E">
      <w:pPr>
        <w:widowControl w:val="0"/>
        <w:rPr>
          <w:lang w:val="lt-LT"/>
        </w:rPr>
      </w:pPr>
      <w:r>
        <w:rPr>
          <w:lang w:val="lt-LT"/>
        </w:rPr>
        <w:t>Lietuvos Respublikos specialiųjų tyrimų tarnybai</w:t>
      </w:r>
      <w:r>
        <w:rPr>
          <w:lang w:val="lt-LT"/>
        </w:rPr>
        <w:tab/>
      </w:r>
      <w:r>
        <w:rPr>
          <w:lang w:val="lt-LT"/>
        </w:rPr>
        <w:tab/>
        <w:t>2020-12-        Nr.</w:t>
      </w:r>
    </w:p>
    <w:p w14:paraId="48AA7B44" w14:textId="77777777" w:rsidR="00C97F5F" w:rsidRDefault="00CF3E2E">
      <w:pPr>
        <w:widowControl w:val="0"/>
        <w:rPr>
          <w:lang w:val="lt-LT"/>
        </w:rPr>
      </w:pPr>
      <w:r>
        <w:rPr>
          <w:lang w:val="lt-LT"/>
        </w:rPr>
        <w:t>A. Jakšto g. 6</w:t>
      </w:r>
    </w:p>
    <w:p w14:paraId="4F47B199" w14:textId="77777777" w:rsidR="00C97F5F" w:rsidRDefault="00CF3E2E">
      <w:pPr>
        <w:widowControl w:val="0"/>
        <w:rPr>
          <w:lang w:val="lt-LT"/>
        </w:rPr>
      </w:pPr>
      <w:r>
        <w:rPr>
          <w:lang w:val="lt-LT"/>
        </w:rPr>
        <w:t>LT-01105 Vilnius</w:t>
      </w:r>
      <w:r>
        <w:rPr>
          <w:lang w:val="lt-LT"/>
        </w:rPr>
        <w:tab/>
      </w:r>
    </w:p>
    <w:p w14:paraId="0C7528E1" w14:textId="77777777" w:rsidR="00C97F5F" w:rsidRDefault="00C97F5F">
      <w:pPr>
        <w:widowControl w:val="0"/>
        <w:tabs>
          <w:tab w:val="clear" w:pos="1293"/>
          <w:tab w:val="left" w:pos="6456"/>
        </w:tabs>
        <w:ind w:left="74"/>
        <w:rPr>
          <w:lang w:val="lt-LT"/>
        </w:rPr>
      </w:pPr>
    </w:p>
    <w:p w14:paraId="05AE019B" w14:textId="77777777" w:rsidR="00C97F5F" w:rsidRDefault="00C97F5F">
      <w:pPr>
        <w:tabs>
          <w:tab w:val="clear" w:pos="1293"/>
        </w:tabs>
        <w:rPr>
          <w:lang w:val="lt-LT"/>
        </w:rPr>
      </w:pPr>
    </w:p>
    <w:p w14:paraId="7F803DD1" w14:textId="77777777" w:rsidR="00C97F5F" w:rsidRDefault="00C97F5F">
      <w:pPr>
        <w:pStyle w:val="Antrats"/>
        <w:tabs>
          <w:tab w:val="clear" w:pos="4153"/>
          <w:tab w:val="clear" w:pos="8306"/>
        </w:tabs>
        <w:jc w:val="both"/>
        <w:rPr>
          <w:lang w:val="lt-LT"/>
        </w:rPr>
      </w:pPr>
    </w:p>
    <w:p w14:paraId="75D08910" w14:textId="77777777" w:rsidR="00C97F5F" w:rsidRDefault="00CF3E2E">
      <w:pPr>
        <w:ind w:left="-540" w:firstLine="540"/>
        <w:jc w:val="center"/>
        <w:outlineLvl w:val="0"/>
        <w:rPr>
          <w:b/>
          <w:lang w:val="lt-LT"/>
        </w:rPr>
      </w:pPr>
      <w:r>
        <w:rPr>
          <w:b/>
          <w:lang w:val="lt-LT"/>
        </w:rPr>
        <w:t>I Š V A D A</w:t>
      </w:r>
    </w:p>
    <w:p w14:paraId="5C271AAE" w14:textId="77777777" w:rsidR="00C97F5F" w:rsidRDefault="00CF3E2E">
      <w:pPr>
        <w:ind w:left="-540" w:firstLine="540"/>
        <w:jc w:val="center"/>
        <w:rPr>
          <w:b/>
          <w:lang w:val="lt-LT"/>
        </w:rPr>
      </w:pPr>
      <w:r>
        <w:rPr>
          <w:b/>
          <w:lang w:val="lt-LT"/>
        </w:rPr>
        <w:t>DĖL KORUPCIJOS PASIREIŠKIMO TIKIMYBĖS</w:t>
      </w:r>
    </w:p>
    <w:p w14:paraId="63376664" w14:textId="77777777" w:rsidR="00C97F5F" w:rsidRDefault="00C97F5F">
      <w:pPr>
        <w:spacing w:line="360" w:lineRule="auto"/>
        <w:ind w:left="-540" w:firstLine="540"/>
        <w:jc w:val="both"/>
        <w:rPr>
          <w:lang w:val="lt-LT"/>
        </w:rPr>
      </w:pPr>
    </w:p>
    <w:p w14:paraId="5F5FFAB8" w14:textId="77777777" w:rsidR="00C97F5F" w:rsidRDefault="00C97F5F">
      <w:pPr>
        <w:spacing w:line="360" w:lineRule="auto"/>
        <w:ind w:left="-540" w:firstLine="540"/>
        <w:jc w:val="both"/>
        <w:rPr>
          <w:lang w:val="lt-LT"/>
        </w:rPr>
      </w:pPr>
    </w:p>
    <w:p w14:paraId="0022505F" w14:textId="77777777" w:rsidR="00C97F5F" w:rsidRDefault="00CF3E2E">
      <w:pPr>
        <w:ind w:firstLine="1134"/>
        <w:jc w:val="both"/>
        <w:rPr>
          <w:lang w:val="lt-LT"/>
        </w:rPr>
      </w:pPr>
      <w:r>
        <w:rPr>
          <w:lang w:val="lt-LT"/>
        </w:rPr>
        <w:t xml:space="preserve">Vadovaujantis Korupcijos rizikos analizės atlikimo tvarka, patvirtinta Lietuvos Respublikos Vyriausybės 2002 m. spalio 8 d. nutarimu Nr. 1601 ,,Dėl Korupcijos rizikos analizės atlikimo tvarkos patvirtinimo“, Ignalinos rajono savivaldybės 2019–2021 metų korupcijos prevencijos programos, patvirtintos Ignalinos rajono savivaldybės tarybos 2019 m. liepos 11 d.  sprendimu Nr. T-161 ,,Dėl Ignalinos rajono savivaldybės 2019–2021 metų korupcijos prevencijos programos patvirtinimo“, priedu, atliktas veiklos sričių, kuriose egzistuoja korupcijos pasireiškimo tikimybė, analizė. Korupcijos pasireiškimo tikimybės analizė atlikta Ignalinos rajono savivaldybės administracijos pranešėjų apsaugos srityje. </w:t>
      </w:r>
    </w:p>
    <w:p w14:paraId="3F71F2BA" w14:textId="77777777" w:rsidR="00C97F5F" w:rsidRDefault="00CF3E2E">
      <w:pPr>
        <w:tabs>
          <w:tab w:val="clear" w:pos="1293"/>
          <w:tab w:val="left" w:pos="1134"/>
        </w:tabs>
        <w:jc w:val="both"/>
        <w:rPr>
          <w:lang w:val="lt-LT"/>
        </w:rPr>
      </w:pPr>
      <w:r>
        <w:rPr>
          <w:lang w:val="lt-LT"/>
        </w:rPr>
        <w:tab/>
        <w:t xml:space="preserve">Korupcijos pasireiškimo tikimybės nustatymas atliktas vadovaujantis Lietuvos Respublikos korupcijos prevencijos įstatymu, Korupcijos rizikos analizės atlikimo tvarka, patvirtinta Lietuvos Respublikos Vyriausybės 2002 m. spalio 8 d. nutarimu Nr. 1601, Valstybės ar savivaldybės įstaigų veiklos sričių, kuriose egzistuoja didelė korupcijos pasireiškimo tikimybė, nustatymo rekomendacijomis, patvirtintomis Lietuvos Respublikos specialiųjų tyrimų tarnybos direktoriaus 2011 m. gegužės 13 d. įsakymu Nr. 2-170 ,,Dėl Valstybės ar savivaldybės įstaigų veiklos sričių, kuriose egzistuoja didelė korupcijos pasireiškimo tikimybė, nustatymo rekomendacijų patvirtinimo“ (toliau – rekomendacijos). </w:t>
      </w:r>
    </w:p>
    <w:p w14:paraId="1179957A" w14:textId="77777777" w:rsidR="00C97F5F" w:rsidRDefault="00CF3E2E">
      <w:pPr>
        <w:ind w:firstLine="1134"/>
        <w:jc w:val="both"/>
        <w:rPr>
          <w:lang w:val="lt-LT"/>
        </w:rPr>
      </w:pPr>
      <w:r>
        <w:rPr>
          <w:lang w:val="lt-LT"/>
        </w:rPr>
        <w:t xml:space="preserve">Vadovaujantis galiojančiu teisiniu reglamentavimu, nustatant korupcijos pasireiškimo tikimybę, vertinti duomenys nuo 2019 m. liepos 1 d. iki 2020 m. spalio 31 d. Nustatant korupcijos pasireiškimo tikimybę, atlikti šie veiksmai: </w:t>
      </w:r>
    </w:p>
    <w:p w14:paraId="00682B43" w14:textId="77777777" w:rsidR="00C97F5F" w:rsidRDefault="00CF3E2E">
      <w:pPr>
        <w:ind w:firstLine="1134"/>
        <w:jc w:val="both"/>
        <w:rPr>
          <w:lang w:val="lt-LT"/>
        </w:rPr>
      </w:pPr>
      <w:r>
        <w:rPr>
          <w:b/>
          <w:bCs/>
          <w:lang w:val="lt-LT"/>
        </w:rPr>
        <w:t>1. Ignalinos rajono savivaldybės administracijos veiklos sričių atitikties Lietuvos Respublikos korupcijos prevencijos įstatymo 6 straipsnio 4 dalyje nustatytiems kriterijams nustatymas.</w:t>
      </w:r>
    </w:p>
    <w:p w14:paraId="375056D2" w14:textId="77777777" w:rsidR="00C97F5F" w:rsidRDefault="00CF3E2E">
      <w:pPr>
        <w:ind w:firstLine="1134"/>
        <w:jc w:val="both"/>
        <w:rPr>
          <w:lang w:val="lt-LT"/>
        </w:rPr>
      </w:pPr>
      <w:r>
        <w:rPr>
          <w:lang w:val="lt-LT"/>
        </w:rPr>
        <w:t>Įvertinta Ignalinos rajono savivaldybės administracijos visų veiklos sričių atitiktis Lietuvos Respublikos korupcijos prevencijos įstatymo 6 straipsnio 4 dalyje nustatytiems kriterijams, remiantis rekomendacijų 8 punkte įtvirtintu reglamentavimu. Nustatyta, kad Ignalinos rajono savivaldybės administracijos veikloje reikia vertinti pranešėjų apsaugos sritį, kurioje veikla yra susijusi su kriterijumi – atskirų valstybės tarnautojų funkcijos, uždaviniai, darbo ir sprendimų priėmimo tvarka bei atsakomybė nėra išsamiai reglamentuoti (rekomendacijų 8.3 papunktis), ar toks sprendimų priėmimas ir vykdoma veikla gali būti priskirtini prie veiklos srities, kurioje egzistuoja korupcijos pasireiškimo tikimybė. Ši veiklos sritis priskirtina prie sričių, kuriose gali būti didelė korupcijos pasireiškimo tikimybė.</w:t>
      </w:r>
    </w:p>
    <w:p w14:paraId="201F99F3" w14:textId="77777777" w:rsidR="00C97F5F" w:rsidRPr="00031F92" w:rsidRDefault="00CF3E2E">
      <w:pPr>
        <w:ind w:firstLine="1134"/>
        <w:jc w:val="both"/>
        <w:rPr>
          <w:lang w:val="lt-LT"/>
        </w:rPr>
      </w:pPr>
      <w:r>
        <w:rPr>
          <w:b/>
          <w:bCs/>
          <w:lang w:val="lt-LT"/>
        </w:rPr>
        <w:lastRenderedPageBreak/>
        <w:t>2. Ignalinos rajono savivaldybės administracijos veiklos sričių, kuriose egzistuoja didelė korupcijos pasireiškimo tikimybė, vertinimas.</w:t>
      </w:r>
    </w:p>
    <w:p w14:paraId="7761B11A" w14:textId="77777777" w:rsidR="00C97F5F" w:rsidRPr="00031F92" w:rsidRDefault="00CF3E2E">
      <w:pPr>
        <w:ind w:firstLine="1134"/>
        <w:jc w:val="both"/>
        <w:rPr>
          <w:lang w:val="lt-LT"/>
        </w:rPr>
      </w:pPr>
      <w:r>
        <w:rPr>
          <w:lang w:val="lt-LT"/>
        </w:rPr>
        <w:t>Vertinant korupcijos pasireiškimo tikimybę Ignalinos rajono savivaldybės administracijos pranešėjų apsaugos srityje, buvo pildomas rekomendacijų priede pateiktas įstaigos veiklos nustatymo klausimynas. Užpildžius klausimyną, nustatyti korupcijos rizikos veiksniai, susiję su Lietuvos Respublikos korupcijos prevencijos įstatymo 6 straipsnio 4 dalyje nustatytais kriterijais. Buvo lyginama esama padėtis su ta padėtimi, kuri turėtų būti pagal vertinimo kriterijus.  Rekomendacijų 12 punkte numatyta, kad įstaigos veiklos sričių, kuriose egzistuoja didelė korupcijos pasireiškimo tikimybė, nustatymo ir vertinimo aprašymas yra pagrindas parengti motyvuotą išvadą. Buvo analizuojami Ignalinos rajono savivaldybės administracijos priimti teisės aktai, sprendimai, atlikti veiksmai pranešėjų apsaugos srityje ir:</w:t>
      </w:r>
    </w:p>
    <w:p w14:paraId="79D42AA1" w14:textId="77777777" w:rsidR="00C97F5F" w:rsidRPr="00031F92" w:rsidRDefault="00CF3E2E">
      <w:pPr>
        <w:ind w:firstLine="1134"/>
        <w:jc w:val="both"/>
        <w:rPr>
          <w:lang w:val="lt-LT"/>
        </w:rPr>
      </w:pPr>
      <w:r>
        <w:rPr>
          <w:lang w:val="lt-LT"/>
        </w:rPr>
        <w:t xml:space="preserve">vertinta Ignalinos rajono savivaldybės administracijos veikla, ar reikia priimti teisės aktus įstatymams įgyvendinti; vertinta, ar teisės aktuose nustatyta sprendimų priėmimo, veiksmų atlikimo tvarka yra skaidri, ar juose įtvirtinti sprendimų priėmimo principai, aiškūs kriterijai, sprendimų priėmimo terminai, subjektai ir pan.; </w:t>
      </w:r>
    </w:p>
    <w:p w14:paraId="5B7449D0" w14:textId="77777777" w:rsidR="00C97F5F" w:rsidRDefault="00CF3E2E">
      <w:pPr>
        <w:ind w:firstLine="1134"/>
        <w:jc w:val="both"/>
      </w:pPr>
      <w:r>
        <w:rPr>
          <w:lang w:val="lt-LT"/>
        </w:rPr>
        <w:t xml:space="preserve">vertinta, ar yra įtvirtinti Ignalinos rajono savivaldybės administracijos vidaus kontrolės sistemos funkcionavimo pagrindai. </w:t>
      </w:r>
    </w:p>
    <w:p w14:paraId="17409CFD" w14:textId="77777777" w:rsidR="00C97F5F" w:rsidRDefault="00CF3E2E">
      <w:pPr>
        <w:ind w:firstLine="1134"/>
        <w:jc w:val="both"/>
      </w:pPr>
      <w:r>
        <w:rPr>
          <w:lang w:val="lt-LT"/>
        </w:rPr>
        <w:t>Analizės tikslas – nustatyti konkrečius rizikos veiksnius ir kitas sąlygas, įvykius bei aplinkybes, galinčius sudaryti prielaidas Ignalinos rajono savivaldybės administracijos valstybės tarnautojams ir darbuotojams, dirbantiems pagal darbo sutartis, padaryti korupcinio pobūdžio pažeidimus administruojant veiklą pranešėjų apsaugos srityje ar kitus tapataus pobūdžio, tačiau mažiau pavojingus teisės pažeidimus, ir pateikti rekomendacijas, kurios padėtų valdyti nustatytus korupcijos rizikos veiksnius.</w:t>
      </w:r>
    </w:p>
    <w:p w14:paraId="24D34305" w14:textId="77777777" w:rsidR="00C97F5F" w:rsidRDefault="00CF3E2E">
      <w:pPr>
        <w:ind w:firstLine="1134"/>
        <w:jc w:val="both"/>
      </w:pPr>
      <w:r>
        <w:rPr>
          <w:lang w:val="lt-LT"/>
        </w:rPr>
        <w:t>Vertinimas atliktas taikant dokumentų analizės metodą, remiantis žodiniais valstybės tarnautojų paaiškinimais, analizuojant Lietuvos Respublikos įstatymus ir kitus teisės aktus, vidaus tvarkos taisykles bei valstybės tarnautojų pareigybių aprašymus, kuriuose reglamentuoti valstybės tarnautojų uždaviniai, funkcijos.</w:t>
      </w:r>
    </w:p>
    <w:p w14:paraId="57BED7A1" w14:textId="77777777" w:rsidR="00C97F5F" w:rsidRPr="00031F92" w:rsidRDefault="00CF3E2E">
      <w:pPr>
        <w:ind w:firstLine="1134"/>
        <w:jc w:val="both"/>
        <w:rPr>
          <w:lang w:val="lt-LT"/>
        </w:rPr>
      </w:pPr>
      <w:r>
        <w:rPr>
          <w:lang w:val="lt-LT"/>
        </w:rPr>
        <w:t xml:space="preserve">Lietuvos Respublikos pranešėjų apsaugos įstatymas nustato apie pažeidimus įstaigose pranešusių asmenų teises ir pareigas, jų teisinės apsaugos pagrindus ir formas, taip pat šių asmenų apsaugos, skatinimo ir pagalbos jiems priemones, siekiant sudaryti tinkamas galimybes pranešti apie teisės pažeidimus, keliančius grėsmę viešajam interesui arba jį pažeidžiančius, užtikrinti tokių pažeidimų prevenciją ir atskleidimą. Informacijos pagal Lietuvos Respublikos pranešėjų apsaugos įstatymą Ignalinos rajono savivaldybės administracijoje teikimo tvarkos aprašas, patvirtintas Ignalinos rajono savivaldybės administracijos direktoriaus 2019 m. liepos 26 d. įsakymu Nr. V2-204 ,,Dėl Informacijos pagal Lietuvos Respublikos pranešėjų apsaugos įstatymą Ignalinos rajono savivaldybės administracijoje teikimo tvarkos aprašo patvirtinimo“ (toliau – aprašas), nustato informacijos apie Ignalinos rajono savivaldybės administracijoje (toliau – administracija) galimai rengiamus, padarytus ar daromus pažeidimus teikimo, informacijos apie pažeidimus priėmimo savivaldybės administracijoje veikiančiu vidiniu informacijos apie pažeidimus teikimo kanalu (toliau – vidinis kanalas), jos vertinimo, sprendimų priėmimo ir asmenų, pateikusių informaciją apie pažeidimus, konfidencialumo užtikrinimo tvarką. Aprašo nuostatose numatyta, kad Ignalinos rajono savivaldybės administracijos Teisės  ir civilinės metrikacijos skyrius yra atsakingas už Pranešėjų apsaugos įstatymo reikalavimų vykdymą. Ignalinos rajono savivaldybės administracijos Teisės ir civilinės metrikacijos skyriaus vyresniojo specialisto pareigybės aprašyme, patvirtintame Ignalinos savivaldybės administracijos direktoriaus 2020 m. liepos 3 d. įsakymu Nr. VT-431 „Dėl Ignalinos rajono savivaldybės administracijos Teisės ir civilinės metrikacijos skyriaus valstybės tarnautojų pareigybių aprašymų patvirtinimo“, numatytas atsakingo asmens pavaldumas ir atskaitingumas. Todėl vertinant Ignalinos rajono savivaldybės administracijos vidaus kontrolės sistemos pranešėjų apsaugos srityje funkcionavimo pagrindus, manytina, kad teisės aktuose reglamentuotas atsakingų asmenų pavaldumas ir atskaitingumas ir užtikrinama vidaus kontrolė. Ignalinos rajono savivaldybės administracija yra priėmusi vidaus teisės aktus, reglamentuojančius atskirų valstybės tarnautojų, veikiančių pranešėjų apsaugos srityje, funkcijas, nustačiusi valstybės tarnautojo, veikiančio pranešėjų apsaugos srityje, veiksmų kontrolės procedūras. Ignalinos rajono savivaldybės administracijos Teisės ir civilinės metrikacijos skyriaus vyresniojo specialisto pareigybės aprašymo, patvirtinto Ignalinos savivaldybės administracijos direktoriaus 2020 m. liepos 3 d. įsakymu Nr. VT-431 „Dėl Ignalinos rajono savivaldybės administracijos Teisės ir civilinės metrikacijos skyriaus valstybės tarnautojų pareigybių aprašymų patvirtinimo“, 18 punkte numatyta, kad vyresnysis specialistas vykdo Lietuvos Respublikos pranešėjų apsaugos įstatymo reikalavimų įgyvendinimą Ignalinos rajono savivaldybės administracijoje, administruoja Ignalinos rajono savivaldybės administracijos vidinį informacijos apie pažeidimus teikimo kanalą. Vyresnysis specialistas, veikdamas pranešėjų apsaugos srityje, vadovaujasi Lietuvos Respublikos pranešėjų apsaugos įstatymu, Vidinių informacijos apie pažeidimus teikimo kanalų įdiegimo ir jų funkcionavimo užtikrinimo tvarkos aprašu, patvirtintu Lietuvos Respublikos Vyriausybės 2018 m. lapkričio 14 d. nutarimu Nr. 1133 „Dėl Lietuvos Respublikos pranešėjų apsaugos įstatymo įgyvendinimo“. Ignalinos rajono savivaldybės administracija pranešėjų apsaugos srityje veikia vykdydama Lietuvos Respublikos pranešėjų apsaugos įstatymo nuostatas. Įgyvendindamas Lietuvos Respublikos pranešėjų apsaugos įstatymo 16 straipsnio 3 dalies reikalavimus, Ignalinos rajono savivaldybės administracijos direktorius nurodė Informatikos ir bendrųjų reikalų skyriui su Ignalinos rajono savivaldybės administracijos direktoriaus 2019 m. liepos 26 d. įsakymu Nr. V2-204 ,,Dėl Informacijos pagal Lietuvos Respublikos pranešėjų apsaugos įstatymą Ignalinos rajono savivaldybės administracijoje teikimo tvarkos aprašo patvirtinimo“ supažindinti visus skyrių vedėjus, į struktūrinius padalinius neįeinančius valstybės tarnautojus, seniūnus, jiems pavadžius valstybės tarnautojus ir darbuotojus, dirbančius pagal darbo sutartis. Taip pat nurodyta Informatikos ir bendrųjų reikalų skyriui Ignalinos rajono savivaldybės interneto svetainėje www.ignalina.lt įdiegti Ignalinos rajono savivaldybės administracijos vidinį informacijos apie pažeidimus teikimo kanalą.  Ignalinos rajono savivaldybės interneto svetainėje  </w:t>
      </w:r>
      <w:hyperlink r:id="rId11">
        <w:r>
          <w:rPr>
            <w:rStyle w:val="Internetosaitas"/>
            <w:color w:val="000000"/>
            <w:u w:val="none"/>
            <w:lang w:val="lt-LT"/>
          </w:rPr>
          <w:t>www.ignalina.lt</w:t>
        </w:r>
      </w:hyperlink>
      <w:r>
        <w:rPr>
          <w:rStyle w:val="Internetosaitas"/>
          <w:color w:val="000000"/>
          <w:u w:val="none"/>
          <w:lang w:val="lt-LT"/>
        </w:rPr>
        <w:t>,</w:t>
      </w:r>
      <w:r>
        <w:rPr>
          <w:color w:val="000000"/>
          <w:lang w:val="lt-LT"/>
        </w:rPr>
        <w:t xml:space="preserve"> </w:t>
      </w:r>
      <w:r>
        <w:rPr>
          <w:lang w:val="lt-LT"/>
        </w:rPr>
        <w:t xml:space="preserve">skiltyje ,,Pranešėjų apsauga“, skelbiama visa reikalinga informacija: teisės aktai, reglamentuojantys pranešėjų apsaugą,  atsakingi  valstybės tarnautojai, informacijos teikimo būdai. Korupcijos tikimybės nustatymo metu nustatyta, kad pranešėjų apsaugos veiklos sritis reglamentuota, vertinimo laikotarpiu nebuvo nustatyta korupcinio pobūdžio nusikalstamų veikų, nenustatyta ir mažiau pavojingų teisės pažeidimų, už kuriuos numatyta administracinė ar kitokia teisinė atsakomybė. Analizuojamu laikotarpiu vertinamoje srityje gyventojų skundų, pranešimų dėl veiklos bei priimtų sprendimų teisėtumo, pagrįstumo ar procedūrų vilkinimo negauta. Taip pat negauta pranešimų dėl atsakingo valstybės tarnautojo veiksmų. </w:t>
      </w:r>
    </w:p>
    <w:p w14:paraId="4F6319E6" w14:textId="77777777" w:rsidR="00C97F5F" w:rsidRPr="00031F92" w:rsidRDefault="00CF3E2E">
      <w:pPr>
        <w:ind w:firstLine="1134"/>
        <w:jc w:val="both"/>
        <w:rPr>
          <w:b/>
          <w:bCs/>
          <w:lang w:val="lt-LT"/>
        </w:rPr>
      </w:pPr>
      <w:r>
        <w:rPr>
          <w:b/>
          <w:bCs/>
          <w:lang w:val="lt-LT"/>
        </w:rPr>
        <w:t>3. Išvada:</w:t>
      </w:r>
    </w:p>
    <w:p w14:paraId="27E5614D" w14:textId="77777777" w:rsidR="00C97F5F" w:rsidRPr="00031F92" w:rsidRDefault="00CF3E2E">
      <w:pPr>
        <w:ind w:firstLine="1134"/>
        <w:jc w:val="both"/>
        <w:rPr>
          <w:lang w:val="lt-LT"/>
        </w:rPr>
      </w:pPr>
      <w:r>
        <w:rPr>
          <w:lang w:val="lt-LT"/>
        </w:rPr>
        <w:t xml:space="preserve">Išanalizavus Ignalinos rajono savivaldybės administracijos pranešėjų apsaugos sritį nuo 2019 m. 1iepos 1 d. iki 2020 m. spalio 31 d., 2020 m. gruodžio 28 d. klausimyną,  nustatyta, kad analizuojamoje srityje užtikrinamas vidaus kontrolės funkcionavimas, atsakingų asmenų pavaldumas ir atskaitingumas. Sprendimų priėmimo kriterijai pakankamai aiškūs, esama padėtis Ignalinos rajono savivaldybės administracijoje atitinka nustatytą galiojantį reglamentavimą, todėl korupcijos pasireiškimo tikimybė Ignalinos rajono savivaldybės administracijos pranešėjų apsaugos srityje yra minimali. </w:t>
      </w:r>
    </w:p>
    <w:p w14:paraId="25D28B29" w14:textId="77777777" w:rsidR="00C97F5F" w:rsidRPr="00031F92" w:rsidRDefault="00CF3E2E">
      <w:pPr>
        <w:ind w:firstLine="1134"/>
        <w:jc w:val="both"/>
        <w:rPr>
          <w:lang w:val="lt-LT"/>
        </w:rPr>
      </w:pPr>
      <w:r>
        <w:rPr>
          <w:b/>
          <w:bCs/>
          <w:lang w:val="lt-LT"/>
        </w:rPr>
        <w:t>4. Siūlymai, kurie reikalingi siekiant ateityje užkirsti kelią galimai korupcijos pasireiškimo tikimybei Ignalinos rajono savivaldybės administracijos pranešėjų apsaugos srityje:</w:t>
      </w:r>
    </w:p>
    <w:p w14:paraId="1931629D" w14:textId="77777777" w:rsidR="00C97F5F" w:rsidRPr="00031F92" w:rsidRDefault="00CF3E2E">
      <w:pPr>
        <w:ind w:firstLine="1134"/>
        <w:jc w:val="both"/>
        <w:rPr>
          <w:lang w:val="lt-LT"/>
        </w:rPr>
      </w:pPr>
      <w:r>
        <w:rPr>
          <w:lang w:val="lt-LT"/>
        </w:rPr>
        <w:t>4.1. Keičiantis teisiniam reguliavimui, analizuoti ir keisti savivaldybės teisės aktus, reglamentuojančius pranešėjų apsaugos sritį.</w:t>
      </w:r>
    </w:p>
    <w:p w14:paraId="16A0D5CA" w14:textId="77777777" w:rsidR="00C97F5F" w:rsidRPr="00031F92" w:rsidRDefault="00CF3E2E">
      <w:pPr>
        <w:ind w:firstLine="1134"/>
        <w:jc w:val="both"/>
        <w:rPr>
          <w:lang w:val="lt-LT"/>
        </w:rPr>
      </w:pPr>
      <w:r>
        <w:rPr>
          <w:lang w:val="lt-LT"/>
        </w:rPr>
        <w:t>4.2. Siekiant padidinti darbuotojų antikorupcinį sąmoningumą, organizuoti mokymus įstaigoje arba sudaryti galimybes darbuotojams vykti į mokymus korupcijos prevencijos klausimais.</w:t>
      </w:r>
    </w:p>
    <w:p w14:paraId="33365510" w14:textId="77777777" w:rsidR="00C97F5F" w:rsidRDefault="00CF3E2E">
      <w:pPr>
        <w:shd w:val="clear" w:color="auto" w:fill="FFFFFF"/>
        <w:tabs>
          <w:tab w:val="clear" w:pos="1293"/>
        </w:tabs>
        <w:ind w:firstLine="1134"/>
        <w:jc w:val="both"/>
        <w:rPr>
          <w:lang w:val="lt-LT"/>
        </w:rPr>
      </w:pPr>
      <w:r>
        <w:rPr>
          <w:lang w:val="lt-LT"/>
        </w:rPr>
        <w:t>4.3. Korupcijos pasireiškimo tikimybės išvadą paskelbti Ignalinos rajono savivaldybės interneto svetainėje www.ignalina.lt, skiltyje ,,Korupcijos prevencija“.</w:t>
      </w:r>
    </w:p>
    <w:p w14:paraId="466A26DF" w14:textId="77777777" w:rsidR="00C97F5F" w:rsidRDefault="00CF3E2E">
      <w:pPr>
        <w:shd w:val="clear" w:color="auto" w:fill="FFFFFF"/>
        <w:tabs>
          <w:tab w:val="clear" w:pos="1293"/>
        </w:tabs>
        <w:jc w:val="both"/>
        <w:rPr>
          <w:lang w:val="lt-LT"/>
        </w:rPr>
      </w:pPr>
      <w:r>
        <w:rPr>
          <w:lang w:val="lt-LT"/>
        </w:rPr>
        <w:tab/>
        <w:t xml:space="preserve">PRIDEDAMA.  Korupcijos pasireiškimo tikimybės Ignalinos rajono savivaldybės administracijos pranešėjų apsaugos srityje nuo 2019 m. liepos 1 d. iki 2020 m. spalio 31 d. vertinimo klausimynas, 4 lapai. </w:t>
      </w:r>
    </w:p>
    <w:p w14:paraId="71620D9A" w14:textId="77777777" w:rsidR="00C97F5F" w:rsidRPr="00031F92" w:rsidRDefault="00C97F5F">
      <w:pPr>
        <w:shd w:val="clear" w:color="auto" w:fill="FFFFFF"/>
        <w:tabs>
          <w:tab w:val="clear" w:pos="1293"/>
        </w:tabs>
        <w:jc w:val="both"/>
        <w:rPr>
          <w:color w:val="000000"/>
          <w:lang w:val="lt-LT" w:eastAsia="lt-LT"/>
        </w:rPr>
      </w:pPr>
    </w:p>
    <w:p w14:paraId="59B0CFEB" w14:textId="77777777" w:rsidR="00C97F5F" w:rsidRDefault="00C97F5F">
      <w:pPr>
        <w:pStyle w:val="Betarp"/>
        <w:shd w:val="clear" w:color="auto" w:fill="FFFFFF"/>
        <w:jc w:val="both"/>
        <w:rPr>
          <w:rFonts w:ascii="Times New Roman" w:hAnsi="Times New Roman"/>
          <w:color w:val="000000"/>
          <w:sz w:val="24"/>
          <w:szCs w:val="24"/>
          <w:lang w:eastAsia="lt-LT"/>
        </w:rPr>
      </w:pPr>
    </w:p>
    <w:p w14:paraId="6F2557B0" w14:textId="77777777" w:rsidR="00C97F5F" w:rsidRDefault="00CF3E2E">
      <w:pPr>
        <w:tabs>
          <w:tab w:val="clear" w:pos="1293"/>
        </w:tabs>
        <w:rPr>
          <w:lang w:val="lt-LT"/>
        </w:rPr>
      </w:pPr>
      <w:r>
        <w:rPr>
          <w:lang w:val="lt-LT"/>
        </w:rPr>
        <w:t>Savivaldybės meras</w:t>
      </w:r>
      <w:r>
        <w:rPr>
          <w:lang w:val="lt-LT"/>
        </w:rPr>
        <w:tab/>
      </w:r>
      <w:r>
        <w:rPr>
          <w:lang w:val="lt-LT"/>
        </w:rPr>
        <w:tab/>
      </w:r>
      <w:r>
        <w:rPr>
          <w:lang w:val="lt-LT"/>
        </w:rPr>
        <w:tab/>
      </w:r>
      <w:r>
        <w:rPr>
          <w:lang w:val="lt-LT"/>
        </w:rPr>
        <w:tab/>
      </w:r>
      <w:r>
        <w:rPr>
          <w:lang w:val="lt-LT"/>
        </w:rPr>
        <w:tab/>
        <w:t xml:space="preserve">               Justas </w:t>
      </w:r>
      <w:proofErr w:type="spellStart"/>
      <w:r>
        <w:rPr>
          <w:lang w:val="lt-LT"/>
        </w:rPr>
        <w:t>Rasikas</w:t>
      </w:r>
      <w:proofErr w:type="spellEnd"/>
    </w:p>
    <w:p w14:paraId="06A1FBAB" w14:textId="77777777" w:rsidR="00C97F5F" w:rsidRDefault="00C97F5F">
      <w:pPr>
        <w:tabs>
          <w:tab w:val="clear" w:pos="1293"/>
        </w:tabs>
        <w:rPr>
          <w:lang w:val="lt-LT"/>
        </w:rPr>
      </w:pPr>
    </w:p>
    <w:p w14:paraId="0F4084FF" w14:textId="77777777" w:rsidR="00C97F5F" w:rsidRDefault="00C97F5F">
      <w:pPr>
        <w:tabs>
          <w:tab w:val="clear" w:pos="1293"/>
        </w:tabs>
        <w:rPr>
          <w:lang w:val="lt-LT"/>
        </w:rPr>
      </w:pPr>
    </w:p>
    <w:p w14:paraId="393AF51E" w14:textId="77777777" w:rsidR="00C97F5F" w:rsidRDefault="00C97F5F">
      <w:pPr>
        <w:tabs>
          <w:tab w:val="clear" w:pos="1293"/>
        </w:tabs>
        <w:rPr>
          <w:lang w:val="lt-LT"/>
        </w:rPr>
      </w:pPr>
    </w:p>
    <w:p w14:paraId="25DA4882" w14:textId="77777777" w:rsidR="00C97F5F" w:rsidRDefault="00C97F5F">
      <w:pPr>
        <w:tabs>
          <w:tab w:val="clear" w:pos="1293"/>
        </w:tabs>
        <w:rPr>
          <w:lang w:val="lt-LT"/>
        </w:rPr>
      </w:pPr>
    </w:p>
    <w:p w14:paraId="421C5714" w14:textId="77777777" w:rsidR="00C97F5F" w:rsidRDefault="00C97F5F">
      <w:pPr>
        <w:tabs>
          <w:tab w:val="clear" w:pos="1293"/>
        </w:tabs>
        <w:rPr>
          <w:lang w:val="lt-LT"/>
        </w:rPr>
      </w:pPr>
    </w:p>
    <w:p w14:paraId="5445686A" w14:textId="77777777" w:rsidR="00C97F5F" w:rsidRDefault="00C97F5F">
      <w:pPr>
        <w:tabs>
          <w:tab w:val="clear" w:pos="1293"/>
        </w:tabs>
        <w:rPr>
          <w:lang w:val="lt-LT"/>
        </w:rPr>
      </w:pPr>
    </w:p>
    <w:p w14:paraId="05C395A9" w14:textId="77777777" w:rsidR="00C97F5F" w:rsidRDefault="00C97F5F">
      <w:pPr>
        <w:tabs>
          <w:tab w:val="clear" w:pos="1293"/>
        </w:tabs>
        <w:rPr>
          <w:lang w:val="lt-LT"/>
        </w:rPr>
      </w:pPr>
    </w:p>
    <w:p w14:paraId="3B511E21" w14:textId="77777777" w:rsidR="00C97F5F" w:rsidRDefault="00C97F5F">
      <w:pPr>
        <w:tabs>
          <w:tab w:val="clear" w:pos="1293"/>
        </w:tabs>
        <w:rPr>
          <w:lang w:val="lt-LT"/>
        </w:rPr>
      </w:pPr>
    </w:p>
    <w:p w14:paraId="31FDB87F" w14:textId="77777777" w:rsidR="00C97F5F" w:rsidRDefault="00C97F5F">
      <w:pPr>
        <w:tabs>
          <w:tab w:val="clear" w:pos="1293"/>
        </w:tabs>
        <w:rPr>
          <w:lang w:val="lt-LT"/>
        </w:rPr>
      </w:pPr>
    </w:p>
    <w:p w14:paraId="6D9BB82D" w14:textId="77777777" w:rsidR="00C97F5F" w:rsidRDefault="00C97F5F">
      <w:pPr>
        <w:tabs>
          <w:tab w:val="clear" w:pos="1293"/>
        </w:tabs>
        <w:rPr>
          <w:lang w:val="lt-LT"/>
        </w:rPr>
      </w:pPr>
    </w:p>
    <w:p w14:paraId="09F5809A" w14:textId="77777777" w:rsidR="00C97F5F" w:rsidRDefault="00C97F5F">
      <w:pPr>
        <w:tabs>
          <w:tab w:val="clear" w:pos="1293"/>
        </w:tabs>
        <w:rPr>
          <w:lang w:val="lt-LT"/>
        </w:rPr>
      </w:pPr>
    </w:p>
    <w:p w14:paraId="2A5336F0" w14:textId="77777777" w:rsidR="00C97F5F" w:rsidRDefault="00C97F5F">
      <w:pPr>
        <w:tabs>
          <w:tab w:val="clear" w:pos="1293"/>
        </w:tabs>
        <w:rPr>
          <w:lang w:val="lt-LT"/>
        </w:rPr>
      </w:pPr>
    </w:p>
    <w:p w14:paraId="556F685B" w14:textId="77777777" w:rsidR="00C97F5F" w:rsidRDefault="00C97F5F">
      <w:pPr>
        <w:tabs>
          <w:tab w:val="clear" w:pos="1293"/>
        </w:tabs>
        <w:rPr>
          <w:lang w:val="lt-LT"/>
        </w:rPr>
      </w:pPr>
    </w:p>
    <w:p w14:paraId="2E035CBA" w14:textId="77777777" w:rsidR="00C97F5F" w:rsidRDefault="00C97F5F">
      <w:pPr>
        <w:tabs>
          <w:tab w:val="clear" w:pos="1293"/>
        </w:tabs>
        <w:rPr>
          <w:lang w:val="lt-LT"/>
        </w:rPr>
      </w:pPr>
    </w:p>
    <w:p w14:paraId="5209141A" w14:textId="77777777" w:rsidR="00C97F5F" w:rsidRDefault="00C97F5F">
      <w:pPr>
        <w:tabs>
          <w:tab w:val="clear" w:pos="1293"/>
        </w:tabs>
        <w:rPr>
          <w:lang w:val="lt-LT"/>
        </w:rPr>
      </w:pPr>
    </w:p>
    <w:p w14:paraId="4154FCB1" w14:textId="77777777" w:rsidR="00C97F5F" w:rsidRDefault="00C97F5F">
      <w:pPr>
        <w:tabs>
          <w:tab w:val="clear" w:pos="1293"/>
        </w:tabs>
        <w:rPr>
          <w:lang w:val="lt-LT"/>
        </w:rPr>
      </w:pPr>
    </w:p>
    <w:p w14:paraId="746EE492" w14:textId="77777777" w:rsidR="00C97F5F" w:rsidRDefault="00C97F5F">
      <w:pPr>
        <w:tabs>
          <w:tab w:val="clear" w:pos="1293"/>
        </w:tabs>
        <w:rPr>
          <w:lang w:val="lt-LT"/>
        </w:rPr>
      </w:pPr>
    </w:p>
    <w:p w14:paraId="5D439FCF" w14:textId="77777777" w:rsidR="00C97F5F" w:rsidRDefault="00C97F5F">
      <w:pPr>
        <w:tabs>
          <w:tab w:val="clear" w:pos="1293"/>
        </w:tabs>
        <w:rPr>
          <w:lang w:val="lt-LT"/>
        </w:rPr>
      </w:pPr>
    </w:p>
    <w:p w14:paraId="0656C243" w14:textId="77777777" w:rsidR="00C97F5F" w:rsidRDefault="00C97F5F">
      <w:pPr>
        <w:tabs>
          <w:tab w:val="clear" w:pos="1293"/>
        </w:tabs>
        <w:rPr>
          <w:lang w:val="lt-LT"/>
        </w:rPr>
      </w:pPr>
    </w:p>
    <w:p w14:paraId="496733B2" w14:textId="77777777" w:rsidR="00C97F5F" w:rsidRDefault="00C97F5F">
      <w:pPr>
        <w:tabs>
          <w:tab w:val="clear" w:pos="1293"/>
        </w:tabs>
        <w:rPr>
          <w:lang w:val="lt-LT"/>
        </w:rPr>
      </w:pPr>
    </w:p>
    <w:p w14:paraId="173705B7" w14:textId="77777777" w:rsidR="00C97F5F" w:rsidRDefault="00C97F5F">
      <w:pPr>
        <w:tabs>
          <w:tab w:val="clear" w:pos="1293"/>
        </w:tabs>
        <w:rPr>
          <w:lang w:val="lt-LT"/>
        </w:rPr>
      </w:pPr>
    </w:p>
    <w:p w14:paraId="34E2ECFC" w14:textId="77777777" w:rsidR="00C97F5F" w:rsidRDefault="00C97F5F">
      <w:pPr>
        <w:tabs>
          <w:tab w:val="clear" w:pos="1293"/>
        </w:tabs>
        <w:rPr>
          <w:lang w:val="lt-LT"/>
        </w:rPr>
      </w:pPr>
    </w:p>
    <w:p w14:paraId="00AA5F89" w14:textId="77777777" w:rsidR="00C97F5F" w:rsidRDefault="00C97F5F">
      <w:pPr>
        <w:tabs>
          <w:tab w:val="clear" w:pos="1293"/>
        </w:tabs>
        <w:rPr>
          <w:lang w:val="lt-LT"/>
        </w:rPr>
      </w:pPr>
    </w:p>
    <w:p w14:paraId="231FB209" w14:textId="77777777" w:rsidR="00C97F5F" w:rsidRDefault="00C97F5F">
      <w:pPr>
        <w:tabs>
          <w:tab w:val="clear" w:pos="1293"/>
        </w:tabs>
        <w:rPr>
          <w:lang w:val="lt-LT"/>
        </w:rPr>
      </w:pPr>
    </w:p>
    <w:p w14:paraId="11FDBDA5" w14:textId="77777777" w:rsidR="00C97F5F" w:rsidRDefault="00C97F5F">
      <w:pPr>
        <w:tabs>
          <w:tab w:val="clear" w:pos="1293"/>
        </w:tabs>
        <w:rPr>
          <w:lang w:val="lt-LT"/>
        </w:rPr>
      </w:pPr>
    </w:p>
    <w:p w14:paraId="4E610EA9" w14:textId="77777777" w:rsidR="00C97F5F" w:rsidRDefault="00C97F5F">
      <w:pPr>
        <w:tabs>
          <w:tab w:val="clear" w:pos="1293"/>
        </w:tabs>
        <w:rPr>
          <w:lang w:val="lt-LT"/>
        </w:rPr>
      </w:pPr>
    </w:p>
    <w:p w14:paraId="7C7C55ED" w14:textId="77777777" w:rsidR="00C97F5F" w:rsidRDefault="00C97F5F">
      <w:pPr>
        <w:tabs>
          <w:tab w:val="clear" w:pos="1293"/>
        </w:tabs>
        <w:rPr>
          <w:lang w:val="lt-LT"/>
        </w:rPr>
      </w:pPr>
    </w:p>
    <w:p w14:paraId="48F9563D" w14:textId="77777777" w:rsidR="00C97F5F" w:rsidRDefault="00C97F5F">
      <w:pPr>
        <w:tabs>
          <w:tab w:val="clear" w:pos="1293"/>
        </w:tabs>
        <w:rPr>
          <w:lang w:val="lt-LT"/>
        </w:rPr>
      </w:pPr>
    </w:p>
    <w:p w14:paraId="206E46CB" w14:textId="77777777" w:rsidR="00C97F5F" w:rsidRDefault="00C97F5F">
      <w:pPr>
        <w:tabs>
          <w:tab w:val="clear" w:pos="1293"/>
        </w:tabs>
        <w:rPr>
          <w:lang w:val="lt-LT"/>
        </w:rPr>
      </w:pPr>
    </w:p>
    <w:p w14:paraId="419E8B0D" w14:textId="77777777" w:rsidR="00C97F5F" w:rsidRDefault="00C97F5F">
      <w:pPr>
        <w:tabs>
          <w:tab w:val="clear" w:pos="1293"/>
        </w:tabs>
        <w:rPr>
          <w:lang w:val="lt-LT"/>
        </w:rPr>
      </w:pPr>
    </w:p>
    <w:p w14:paraId="7A493920" w14:textId="77777777" w:rsidR="00C97F5F" w:rsidRDefault="00C97F5F">
      <w:pPr>
        <w:tabs>
          <w:tab w:val="clear" w:pos="1293"/>
        </w:tabs>
        <w:rPr>
          <w:lang w:val="lt-LT"/>
        </w:rPr>
      </w:pPr>
    </w:p>
    <w:p w14:paraId="662184CC" w14:textId="77777777" w:rsidR="00C97F5F" w:rsidRDefault="00C97F5F">
      <w:pPr>
        <w:tabs>
          <w:tab w:val="clear" w:pos="1293"/>
        </w:tabs>
        <w:rPr>
          <w:lang w:val="lt-LT"/>
        </w:rPr>
      </w:pPr>
    </w:p>
    <w:p w14:paraId="2EF06FD6" w14:textId="77777777" w:rsidR="00C97F5F" w:rsidRDefault="00C97F5F">
      <w:pPr>
        <w:tabs>
          <w:tab w:val="clear" w:pos="1293"/>
        </w:tabs>
        <w:rPr>
          <w:lang w:val="lt-LT"/>
        </w:rPr>
      </w:pPr>
    </w:p>
    <w:p w14:paraId="58FF2388" w14:textId="77777777" w:rsidR="00C97F5F" w:rsidRDefault="00C97F5F">
      <w:pPr>
        <w:tabs>
          <w:tab w:val="clear" w:pos="1293"/>
        </w:tabs>
        <w:rPr>
          <w:lang w:val="lt-LT"/>
        </w:rPr>
      </w:pPr>
    </w:p>
    <w:p w14:paraId="4F02FA7D" w14:textId="77777777" w:rsidR="00C97F5F" w:rsidRDefault="00C97F5F">
      <w:pPr>
        <w:tabs>
          <w:tab w:val="clear" w:pos="1293"/>
        </w:tabs>
        <w:rPr>
          <w:lang w:val="lt-LT"/>
        </w:rPr>
      </w:pPr>
    </w:p>
    <w:p w14:paraId="40505E55" w14:textId="77777777" w:rsidR="00C97F5F" w:rsidRDefault="00C97F5F">
      <w:pPr>
        <w:tabs>
          <w:tab w:val="clear" w:pos="1293"/>
        </w:tabs>
        <w:rPr>
          <w:lang w:val="lt-LT"/>
        </w:rPr>
      </w:pPr>
    </w:p>
    <w:p w14:paraId="663FC34F" w14:textId="77777777" w:rsidR="00C97F5F" w:rsidRDefault="00C97F5F">
      <w:pPr>
        <w:tabs>
          <w:tab w:val="clear" w:pos="1293"/>
        </w:tabs>
        <w:rPr>
          <w:lang w:val="lt-LT"/>
        </w:rPr>
      </w:pPr>
    </w:p>
    <w:p w14:paraId="3734A523" w14:textId="77777777" w:rsidR="00C97F5F" w:rsidRDefault="00C97F5F">
      <w:pPr>
        <w:tabs>
          <w:tab w:val="clear" w:pos="1293"/>
        </w:tabs>
        <w:rPr>
          <w:lang w:val="lt-LT"/>
        </w:rPr>
      </w:pPr>
    </w:p>
    <w:p w14:paraId="79AFF7B8" w14:textId="77777777" w:rsidR="00C97F5F" w:rsidRDefault="00C97F5F">
      <w:pPr>
        <w:tabs>
          <w:tab w:val="clear" w:pos="1293"/>
        </w:tabs>
        <w:rPr>
          <w:lang w:val="lt-LT"/>
        </w:rPr>
      </w:pPr>
    </w:p>
    <w:p w14:paraId="6EBF3D09" w14:textId="77777777" w:rsidR="00C97F5F" w:rsidRDefault="00C97F5F">
      <w:pPr>
        <w:tabs>
          <w:tab w:val="clear" w:pos="1293"/>
        </w:tabs>
        <w:rPr>
          <w:lang w:val="lt-LT"/>
        </w:rPr>
      </w:pPr>
    </w:p>
    <w:p w14:paraId="39957164" w14:textId="77777777" w:rsidR="00C97F5F" w:rsidRDefault="00C97F5F">
      <w:pPr>
        <w:tabs>
          <w:tab w:val="clear" w:pos="1293"/>
        </w:tabs>
        <w:rPr>
          <w:lang w:val="lt-LT"/>
        </w:rPr>
      </w:pPr>
    </w:p>
    <w:p w14:paraId="352BCB31" w14:textId="77777777" w:rsidR="00C97F5F" w:rsidRDefault="00C97F5F">
      <w:pPr>
        <w:tabs>
          <w:tab w:val="clear" w:pos="1293"/>
        </w:tabs>
        <w:rPr>
          <w:lang w:val="lt-LT"/>
        </w:rPr>
      </w:pPr>
    </w:p>
    <w:p w14:paraId="6C1EE3AD" w14:textId="77777777" w:rsidR="00C97F5F" w:rsidRDefault="00C97F5F">
      <w:pPr>
        <w:tabs>
          <w:tab w:val="clear" w:pos="1293"/>
        </w:tabs>
        <w:rPr>
          <w:lang w:val="lt-LT"/>
        </w:rPr>
      </w:pPr>
    </w:p>
    <w:p w14:paraId="78114B9F" w14:textId="77777777" w:rsidR="00C97F5F" w:rsidRDefault="00C97F5F">
      <w:pPr>
        <w:tabs>
          <w:tab w:val="clear" w:pos="1293"/>
        </w:tabs>
        <w:rPr>
          <w:lang w:val="lt-LT"/>
        </w:rPr>
      </w:pPr>
    </w:p>
    <w:p w14:paraId="4A8F02A1" w14:textId="77777777" w:rsidR="00C97F5F" w:rsidRDefault="00C97F5F">
      <w:pPr>
        <w:tabs>
          <w:tab w:val="clear" w:pos="1293"/>
        </w:tabs>
        <w:rPr>
          <w:lang w:val="lt-LT"/>
        </w:rPr>
      </w:pPr>
    </w:p>
    <w:p w14:paraId="6B64BBAB" w14:textId="77777777" w:rsidR="00C97F5F" w:rsidRDefault="00C97F5F">
      <w:pPr>
        <w:tabs>
          <w:tab w:val="clear" w:pos="1293"/>
        </w:tabs>
        <w:rPr>
          <w:lang w:val="lt-LT"/>
        </w:rPr>
      </w:pPr>
    </w:p>
    <w:sectPr w:rsidR="00C97F5F">
      <w:type w:val="continuous"/>
      <w:pgSz w:w="11906" w:h="16838"/>
      <w:pgMar w:top="1134" w:right="567" w:bottom="1134" w:left="1701" w:header="567" w:footer="574" w:gutter="0"/>
      <w:cols w:space="1296"/>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CB60C" w14:textId="77777777" w:rsidR="00611B48" w:rsidRDefault="00611B48">
      <w:r>
        <w:separator/>
      </w:r>
    </w:p>
  </w:endnote>
  <w:endnote w:type="continuationSeparator" w:id="0">
    <w:p w14:paraId="0E036810" w14:textId="77777777" w:rsidR="00611B48" w:rsidRDefault="00611B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 w:name="Lucida Sans">
    <w:charset w:val="00"/>
    <w:family w:val="swiss"/>
    <w:pitch w:val="variable"/>
    <w:sig w:usb0="00000003" w:usb1="00000000" w:usb2="00000000" w:usb3="00000000" w:csb0="00000001" w:csb1="00000000"/>
  </w:font>
  <w:font w:name="Tahoma">
    <w:panose1 w:val="020B0604030504040204"/>
    <w:charset w:val="00"/>
    <w:family w:val="roman"/>
    <w:pitch w:val="variable"/>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E10B2" w14:textId="77777777" w:rsidR="00C97F5F" w:rsidRDefault="00C97F5F">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FED87" w14:textId="77777777" w:rsidR="00611B48" w:rsidRDefault="00611B48">
      <w:r>
        <w:separator/>
      </w:r>
    </w:p>
  </w:footnote>
  <w:footnote w:type="continuationSeparator" w:id="0">
    <w:p w14:paraId="583998DB" w14:textId="77777777" w:rsidR="00611B48" w:rsidRDefault="00611B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F8CD8" w14:textId="77777777" w:rsidR="00C97F5F" w:rsidRDefault="00C97F5F">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1202"/>
  <w:autoHyphenation/>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F5F"/>
    <w:rsid w:val="00031F92"/>
    <w:rsid w:val="00611B48"/>
    <w:rsid w:val="0079473E"/>
    <w:rsid w:val="00C97F5F"/>
    <w:rsid w:val="00CF3E2E"/>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5B431"/>
  <w15:docId w15:val="{D8A48E5A-2FF0-4F8E-B77B-393BF6478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tabs>
        <w:tab w:val="left" w:pos="1293"/>
      </w:tabs>
    </w:pPr>
    <w:rPr>
      <w:sz w:val="24"/>
      <w:szCs w:val="24"/>
      <w:lang w:val="en-GB" w:eastAsia="en-US"/>
    </w:rPr>
  </w:style>
  <w:style w:type="paragraph" w:styleId="Antrat1">
    <w:name w:val="heading 1"/>
    <w:basedOn w:val="prastasis"/>
    <w:next w:val="prastasis"/>
    <w:qFormat/>
    <w:pPr>
      <w:keepNext/>
      <w:tabs>
        <w:tab w:val="clear" w:pos="1293"/>
      </w:tabs>
      <w:jc w:val="center"/>
      <w:outlineLvl w:val="0"/>
    </w:pPr>
    <w:rPr>
      <w:b/>
      <w:bCs/>
      <w:lang w:val="lt-LT"/>
    </w:rPr>
  </w:style>
  <w:style w:type="paragraph" w:styleId="Antrat2">
    <w:name w:val="heading 2"/>
    <w:basedOn w:val="prastasis"/>
    <w:next w:val="prastasis"/>
    <w:link w:val="Antrat2Diagrama"/>
    <w:qFormat/>
    <w:rsid w:val="004E5149"/>
    <w:pPr>
      <w:keepNext/>
      <w:spacing w:before="240" w:after="60"/>
      <w:outlineLvl w:val="1"/>
    </w:pPr>
    <w:rPr>
      <w:rFonts w:ascii="Cambria" w:hAnsi="Cambria"/>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Internetosaitas">
    <w:name w:val="Interneto saitas"/>
    <w:rPr>
      <w:color w:val="0000FF"/>
      <w:u w:val="single"/>
    </w:rPr>
  </w:style>
  <w:style w:type="character" w:customStyle="1" w:styleId="PagrindiniotekstotraukaDiagrama">
    <w:name w:val="Pagrindinio teksto įtrauka Diagrama"/>
    <w:link w:val="Pagrindiniotekstotrauka"/>
    <w:qFormat/>
    <w:rsid w:val="000C7D29"/>
    <w:rPr>
      <w:sz w:val="24"/>
      <w:szCs w:val="24"/>
      <w:lang w:val="en-GB" w:eastAsia="en-US"/>
    </w:rPr>
  </w:style>
  <w:style w:type="character" w:customStyle="1" w:styleId="AntratsDiagrama">
    <w:name w:val="Antraštės Diagrama"/>
    <w:link w:val="Antrats"/>
    <w:uiPriority w:val="99"/>
    <w:qFormat/>
    <w:locked/>
    <w:rsid w:val="000C7D29"/>
    <w:rPr>
      <w:sz w:val="24"/>
      <w:szCs w:val="24"/>
      <w:lang w:val="en-GB" w:eastAsia="en-US"/>
    </w:rPr>
  </w:style>
  <w:style w:type="character" w:customStyle="1" w:styleId="Antrat2Diagrama">
    <w:name w:val="Antraštė 2 Diagrama"/>
    <w:link w:val="Antrat2"/>
    <w:qFormat/>
    <w:rsid w:val="004E5149"/>
    <w:rPr>
      <w:rFonts w:ascii="Cambria" w:eastAsia="Times New Roman" w:hAnsi="Cambria" w:cs="Times New Roman"/>
      <w:b/>
      <w:bCs/>
      <w:i/>
      <w:iCs/>
      <w:sz w:val="28"/>
      <w:szCs w:val="28"/>
      <w:lang w:val="en-GB" w:eastAsia="en-US"/>
    </w:rPr>
  </w:style>
  <w:style w:type="character" w:customStyle="1" w:styleId="Pagrindinistekstas">
    <w:name w:val="Pagrindinis tekstas_"/>
    <w:basedOn w:val="Numatytasispastraiposriftas"/>
    <w:link w:val="Pagrindinistekstas10"/>
    <w:qFormat/>
    <w:rsid w:val="00307156"/>
    <w:rPr>
      <w:sz w:val="22"/>
      <w:szCs w:val="22"/>
      <w:shd w:val="clear" w:color="auto" w:fill="FFFFFF"/>
    </w:rPr>
  </w:style>
  <w:style w:type="character" w:customStyle="1" w:styleId="PagrindinistekstasKursyvas">
    <w:name w:val="Pagrindinis tekstas + Kursyvas"/>
    <w:basedOn w:val="Pagrindinistekstas"/>
    <w:qFormat/>
    <w:rsid w:val="004F2525"/>
    <w:rPr>
      <w:rFonts w:ascii="Times New Roman" w:eastAsia="Times New Roman" w:hAnsi="Times New Roman" w:cs="Times New Roman"/>
      <w:b w:val="0"/>
      <w:bCs w:val="0"/>
      <w:i/>
      <w:iCs/>
      <w:caps w:val="0"/>
      <w:smallCaps w:val="0"/>
      <w:strike w:val="0"/>
      <w:dstrike w:val="0"/>
      <w:spacing w:val="0"/>
      <w:sz w:val="22"/>
      <w:szCs w:val="22"/>
      <w:shd w:val="clear" w:color="auto" w:fill="FFFFFF"/>
    </w:rPr>
  </w:style>
  <w:style w:type="character" w:customStyle="1" w:styleId="PagrindinistekstasPusjuodis">
    <w:name w:val="Pagrindinis tekstas + Pusjuodis"/>
    <w:basedOn w:val="Pagrindinistekstas"/>
    <w:qFormat/>
    <w:rsid w:val="004F2525"/>
    <w:rPr>
      <w:rFonts w:ascii="Times New Roman" w:eastAsia="Times New Roman" w:hAnsi="Times New Roman" w:cs="Times New Roman"/>
      <w:b/>
      <w:bCs/>
      <w:i w:val="0"/>
      <w:iCs w:val="0"/>
      <w:caps w:val="0"/>
      <w:smallCaps w:val="0"/>
      <w:strike w:val="0"/>
      <w:dstrike w:val="0"/>
      <w:spacing w:val="0"/>
      <w:sz w:val="22"/>
      <w:szCs w:val="22"/>
      <w:shd w:val="clear" w:color="auto" w:fill="FFFFFF"/>
    </w:rPr>
  </w:style>
  <w:style w:type="character" w:customStyle="1" w:styleId="Pagrindinistekstas2">
    <w:name w:val="Pagrindinis tekstas (2)_"/>
    <w:basedOn w:val="Numatytasispastraiposriftas"/>
    <w:link w:val="Pagrindinistekstas20"/>
    <w:qFormat/>
    <w:rsid w:val="00366590"/>
    <w:rPr>
      <w:sz w:val="22"/>
      <w:szCs w:val="22"/>
      <w:shd w:val="clear" w:color="auto" w:fill="FFFFFF"/>
    </w:rPr>
  </w:style>
  <w:style w:type="character" w:customStyle="1" w:styleId="Pagrindinistekstas4">
    <w:name w:val="Pagrindinis tekstas4"/>
    <w:basedOn w:val="Pagrindinistekstas"/>
    <w:qFormat/>
    <w:rsid w:val="00366590"/>
    <w:rPr>
      <w:rFonts w:ascii="Times New Roman" w:eastAsia="Times New Roman" w:hAnsi="Times New Roman" w:cs="Times New Roman"/>
      <w:b w:val="0"/>
      <w:bCs w:val="0"/>
      <w:i w:val="0"/>
      <w:iCs w:val="0"/>
      <w:caps w:val="0"/>
      <w:smallCaps w:val="0"/>
      <w:strike w:val="0"/>
      <w:dstrike w:val="0"/>
      <w:spacing w:val="0"/>
      <w:sz w:val="22"/>
      <w:szCs w:val="22"/>
      <w:u w:val="single"/>
      <w:shd w:val="clear" w:color="auto" w:fill="FFFFFF"/>
    </w:rPr>
  </w:style>
  <w:style w:type="character" w:customStyle="1" w:styleId="Pagrindinistekstas115tkPusjuodis">
    <w:name w:val="Pagrindinis tekstas + 11;5 tšk.;Pusjuodis"/>
    <w:basedOn w:val="Pagrindinistekstas"/>
    <w:qFormat/>
    <w:rsid w:val="00F9698D"/>
    <w:rPr>
      <w:rFonts w:ascii="Times New Roman" w:eastAsia="Times New Roman" w:hAnsi="Times New Roman" w:cs="Times New Roman"/>
      <w:b/>
      <w:bCs/>
      <w:i w:val="0"/>
      <w:iCs w:val="0"/>
      <w:caps w:val="0"/>
      <w:smallCaps w:val="0"/>
      <w:strike w:val="0"/>
      <w:dstrike w:val="0"/>
      <w:spacing w:val="0"/>
      <w:sz w:val="23"/>
      <w:szCs w:val="23"/>
      <w:shd w:val="clear" w:color="auto" w:fill="FFFFFF"/>
    </w:rPr>
  </w:style>
  <w:style w:type="character" w:customStyle="1" w:styleId="PagrindinistekstasPusjuodisKursyvas">
    <w:name w:val="Pagrindinis tekstas + Pusjuodis;Kursyvas"/>
    <w:basedOn w:val="Pagrindinistekstas"/>
    <w:qFormat/>
    <w:rsid w:val="00F9698D"/>
    <w:rPr>
      <w:rFonts w:ascii="Times New Roman" w:eastAsia="Times New Roman" w:hAnsi="Times New Roman" w:cs="Times New Roman"/>
      <w:b/>
      <w:bCs/>
      <w:i/>
      <w:iCs/>
      <w:caps w:val="0"/>
      <w:smallCaps w:val="0"/>
      <w:strike w:val="0"/>
      <w:dstrike w:val="0"/>
      <w:spacing w:val="0"/>
      <w:sz w:val="22"/>
      <w:szCs w:val="22"/>
      <w:shd w:val="clear" w:color="auto" w:fill="FFFFFF"/>
    </w:rPr>
  </w:style>
  <w:style w:type="character" w:customStyle="1" w:styleId="Pagrindinistekstas65tkPusjuodisMastelis20">
    <w:name w:val="Pagrindinis tekstas + 6;5 tšk.;Pusjuodis;Mastelis 20%"/>
    <w:basedOn w:val="Pagrindinistekstas"/>
    <w:qFormat/>
    <w:rsid w:val="00FB2D93"/>
    <w:rPr>
      <w:rFonts w:ascii="Times New Roman" w:eastAsia="Times New Roman" w:hAnsi="Times New Roman" w:cs="Times New Roman"/>
      <w:b/>
      <w:bCs/>
      <w:i w:val="0"/>
      <w:iCs w:val="0"/>
      <w:caps w:val="0"/>
      <w:smallCaps w:val="0"/>
      <w:strike w:val="0"/>
      <w:dstrike w:val="0"/>
      <w:spacing w:val="0"/>
      <w:w w:val="20"/>
      <w:sz w:val="13"/>
      <w:szCs w:val="13"/>
      <w:shd w:val="clear" w:color="auto" w:fill="FFFFFF"/>
    </w:rPr>
  </w:style>
  <w:style w:type="character" w:customStyle="1" w:styleId="Pagrindinistekstas13tkMastelis33">
    <w:name w:val="Pagrindinis tekstas + 13 tšk.;Mastelis 33%"/>
    <w:basedOn w:val="Pagrindinistekstas"/>
    <w:qFormat/>
    <w:rsid w:val="00FB2D93"/>
    <w:rPr>
      <w:rFonts w:ascii="Times New Roman" w:eastAsia="Times New Roman" w:hAnsi="Times New Roman" w:cs="Times New Roman"/>
      <w:b w:val="0"/>
      <w:bCs w:val="0"/>
      <w:i w:val="0"/>
      <w:iCs w:val="0"/>
      <w:caps w:val="0"/>
      <w:smallCaps w:val="0"/>
      <w:strike w:val="0"/>
      <w:dstrike w:val="0"/>
      <w:spacing w:val="0"/>
      <w:w w:val="33"/>
      <w:sz w:val="26"/>
      <w:szCs w:val="26"/>
      <w:shd w:val="clear" w:color="auto" w:fill="FFFFFF"/>
    </w:rPr>
  </w:style>
  <w:style w:type="character" w:customStyle="1" w:styleId="Temosantrat32">
    <w:name w:val="Temos antraštė #3 (2)_"/>
    <w:basedOn w:val="Numatytasispastraiposriftas"/>
    <w:link w:val="Temosantrat320"/>
    <w:qFormat/>
    <w:rsid w:val="00E83D36"/>
    <w:rPr>
      <w:spacing w:val="-10"/>
      <w:sz w:val="15"/>
      <w:szCs w:val="15"/>
      <w:shd w:val="clear" w:color="auto" w:fill="FFFFFF"/>
    </w:rPr>
  </w:style>
  <w:style w:type="character" w:customStyle="1" w:styleId="PagrindinistekstasMastelis40">
    <w:name w:val="Pagrindinis tekstas + Mastelis 40%"/>
    <w:basedOn w:val="Pagrindinistekstas"/>
    <w:qFormat/>
    <w:rsid w:val="00E83D36"/>
    <w:rPr>
      <w:rFonts w:ascii="Times New Roman" w:eastAsia="Times New Roman" w:hAnsi="Times New Roman" w:cs="Times New Roman"/>
      <w:b w:val="0"/>
      <w:bCs w:val="0"/>
      <w:i w:val="0"/>
      <w:iCs w:val="0"/>
      <w:caps w:val="0"/>
      <w:smallCaps w:val="0"/>
      <w:strike w:val="0"/>
      <w:dstrike w:val="0"/>
      <w:spacing w:val="0"/>
      <w:w w:val="40"/>
      <w:sz w:val="22"/>
      <w:szCs w:val="22"/>
      <w:shd w:val="clear" w:color="auto" w:fill="FFFFFF"/>
    </w:rPr>
  </w:style>
  <w:style w:type="character" w:customStyle="1" w:styleId="Pagrindinistekstas15tkMastelis40">
    <w:name w:val="Pagrindinis tekstas + 15 tšk.;Mastelis 40%"/>
    <w:basedOn w:val="Pagrindinistekstas"/>
    <w:qFormat/>
    <w:rsid w:val="00E83D36"/>
    <w:rPr>
      <w:rFonts w:ascii="Times New Roman" w:eastAsia="Times New Roman" w:hAnsi="Times New Roman" w:cs="Times New Roman"/>
      <w:b w:val="0"/>
      <w:bCs w:val="0"/>
      <w:i w:val="0"/>
      <w:iCs w:val="0"/>
      <w:caps w:val="0"/>
      <w:smallCaps w:val="0"/>
      <w:strike w:val="0"/>
      <w:dstrike w:val="0"/>
      <w:spacing w:val="0"/>
      <w:w w:val="40"/>
      <w:sz w:val="30"/>
      <w:szCs w:val="30"/>
      <w:shd w:val="clear" w:color="auto" w:fill="FFFFFF"/>
    </w:rPr>
  </w:style>
  <w:style w:type="paragraph" w:styleId="Antrat">
    <w:name w:val="caption"/>
    <w:basedOn w:val="prastasis"/>
    <w:next w:val="Pagrindinistekstas0"/>
    <w:qFormat/>
    <w:pPr>
      <w:suppressLineNumbers/>
      <w:spacing w:before="120" w:after="120"/>
    </w:pPr>
    <w:rPr>
      <w:rFonts w:cs="Lucida Sans"/>
      <w:i/>
      <w:iCs/>
    </w:rPr>
  </w:style>
  <w:style w:type="paragraph" w:styleId="Pagrindinistekstas0">
    <w:name w:val="Body Text"/>
    <w:basedOn w:val="prastasis"/>
    <w:pPr>
      <w:tabs>
        <w:tab w:val="clear" w:pos="1293"/>
      </w:tabs>
      <w:jc w:val="both"/>
    </w:pPr>
    <w:rPr>
      <w:lang w:val="lt-LT"/>
    </w:rPr>
  </w:style>
  <w:style w:type="paragraph" w:styleId="Sraas">
    <w:name w:val="List"/>
    <w:basedOn w:val="Pagrindinistekstas0"/>
    <w:rPr>
      <w:rFonts w:cs="Lucida Sans"/>
    </w:rPr>
  </w:style>
  <w:style w:type="paragraph" w:customStyle="1" w:styleId="Rodykl">
    <w:name w:val="Rodyklė"/>
    <w:basedOn w:val="prastasis"/>
    <w:qFormat/>
    <w:pPr>
      <w:suppressLineNumbers/>
    </w:pPr>
    <w:rPr>
      <w:rFonts w:cs="Lucida Sans"/>
    </w:rPr>
  </w:style>
  <w:style w:type="paragraph" w:customStyle="1" w:styleId="Puslapinantratirporat">
    <w:name w:val="Puslapinė antraštė ir poraštė"/>
    <w:basedOn w:val="prastasis"/>
    <w:qFormat/>
  </w:style>
  <w:style w:type="paragraph" w:styleId="Antrats">
    <w:name w:val="header"/>
    <w:basedOn w:val="prastasis"/>
    <w:link w:val="AntratsDiagrama"/>
    <w:uiPriority w:val="99"/>
    <w:pPr>
      <w:tabs>
        <w:tab w:val="clear" w:pos="1293"/>
        <w:tab w:val="center" w:pos="4153"/>
        <w:tab w:val="right" w:pos="8306"/>
      </w:tabs>
    </w:pPr>
  </w:style>
  <w:style w:type="paragraph" w:styleId="Porat">
    <w:name w:val="footer"/>
    <w:basedOn w:val="prastasis"/>
    <w:pPr>
      <w:tabs>
        <w:tab w:val="clear" w:pos="1293"/>
        <w:tab w:val="center" w:pos="4153"/>
        <w:tab w:val="right" w:pos="8306"/>
      </w:tabs>
    </w:pPr>
  </w:style>
  <w:style w:type="paragraph" w:styleId="Debesliotekstas">
    <w:name w:val="Balloon Text"/>
    <w:basedOn w:val="prastasis"/>
    <w:semiHidden/>
    <w:qFormat/>
    <w:rsid w:val="007E7266"/>
    <w:rPr>
      <w:rFonts w:ascii="Tahoma" w:hAnsi="Tahoma" w:cs="Tahoma"/>
      <w:sz w:val="16"/>
      <w:szCs w:val="16"/>
    </w:rPr>
  </w:style>
  <w:style w:type="paragraph" w:styleId="Pagrindiniotekstotrauka">
    <w:name w:val="Body Text Indent"/>
    <w:basedOn w:val="prastasis"/>
    <w:link w:val="PagrindiniotekstotraukaDiagrama"/>
    <w:rsid w:val="000C7D29"/>
    <w:pPr>
      <w:spacing w:after="120"/>
      <w:ind w:left="283"/>
    </w:pPr>
  </w:style>
  <w:style w:type="paragraph" w:styleId="Betarp">
    <w:name w:val="No Spacing"/>
    <w:uiPriority w:val="1"/>
    <w:qFormat/>
    <w:rsid w:val="00D948BD"/>
    <w:rPr>
      <w:rFonts w:ascii="Calibri" w:eastAsia="Calibri" w:hAnsi="Calibri"/>
      <w:sz w:val="22"/>
      <w:szCs w:val="22"/>
      <w:lang w:eastAsia="en-US"/>
    </w:rPr>
  </w:style>
  <w:style w:type="paragraph" w:styleId="prastasiniatinklio">
    <w:name w:val="Normal (Web)"/>
    <w:basedOn w:val="prastasis"/>
    <w:uiPriority w:val="99"/>
    <w:unhideWhenUsed/>
    <w:qFormat/>
    <w:rsid w:val="004E33D3"/>
    <w:pPr>
      <w:tabs>
        <w:tab w:val="clear" w:pos="1293"/>
      </w:tabs>
      <w:spacing w:beforeAutospacing="1" w:afterAutospacing="1"/>
    </w:pPr>
    <w:rPr>
      <w:lang w:val="lt-LT" w:eastAsia="lt-LT"/>
    </w:rPr>
  </w:style>
  <w:style w:type="paragraph" w:customStyle="1" w:styleId="Pagrindinistekstas10">
    <w:name w:val="Pagrindinis tekstas10"/>
    <w:basedOn w:val="prastasis"/>
    <w:link w:val="Pagrindinistekstas"/>
    <w:qFormat/>
    <w:rsid w:val="00307156"/>
    <w:pPr>
      <w:shd w:val="clear" w:color="auto" w:fill="FFFFFF"/>
      <w:tabs>
        <w:tab w:val="clear" w:pos="1293"/>
      </w:tabs>
      <w:spacing w:line="0" w:lineRule="atLeast"/>
      <w:ind w:hanging="360"/>
    </w:pPr>
    <w:rPr>
      <w:sz w:val="22"/>
      <w:szCs w:val="22"/>
      <w:lang w:val="lt-LT" w:eastAsia="lt-LT"/>
    </w:rPr>
  </w:style>
  <w:style w:type="paragraph" w:customStyle="1" w:styleId="tajtip">
    <w:name w:val="tajtip"/>
    <w:basedOn w:val="prastasis"/>
    <w:qFormat/>
    <w:rsid w:val="004F2525"/>
    <w:pPr>
      <w:tabs>
        <w:tab w:val="clear" w:pos="1293"/>
      </w:tabs>
      <w:spacing w:beforeAutospacing="1" w:afterAutospacing="1"/>
    </w:pPr>
    <w:rPr>
      <w:lang w:val="lt-LT" w:eastAsia="lt-LT"/>
    </w:rPr>
  </w:style>
  <w:style w:type="paragraph" w:customStyle="1" w:styleId="Pagrindinistekstas20">
    <w:name w:val="Pagrindinis tekstas (2)"/>
    <w:basedOn w:val="prastasis"/>
    <w:link w:val="Pagrindinistekstas2"/>
    <w:qFormat/>
    <w:rsid w:val="00366590"/>
    <w:pPr>
      <w:shd w:val="clear" w:color="auto" w:fill="FFFFFF"/>
      <w:tabs>
        <w:tab w:val="clear" w:pos="1293"/>
      </w:tabs>
      <w:spacing w:line="0" w:lineRule="atLeast"/>
    </w:pPr>
    <w:rPr>
      <w:sz w:val="22"/>
      <w:szCs w:val="22"/>
      <w:lang w:val="lt-LT" w:eastAsia="lt-LT"/>
    </w:rPr>
  </w:style>
  <w:style w:type="paragraph" w:customStyle="1" w:styleId="Temosantrat320">
    <w:name w:val="Temos antraštė #3 (2)"/>
    <w:basedOn w:val="prastasis"/>
    <w:link w:val="Temosantrat32"/>
    <w:qFormat/>
    <w:rsid w:val="00E83D36"/>
    <w:pPr>
      <w:shd w:val="clear" w:color="auto" w:fill="FFFFFF"/>
      <w:tabs>
        <w:tab w:val="clear" w:pos="1293"/>
      </w:tabs>
      <w:spacing w:before="300" w:line="0" w:lineRule="atLeast"/>
      <w:outlineLvl w:val="2"/>
    </w:pPr>
    <w:rPr>
      <w:spacing w:val="-10"/>
      <w:sz w:val="15"/>
      <w:szCs w:val="15"/>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ignalina.l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ignalina@sav.lt"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www.ignalina.lt/" TargetMode="Externa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7765</Words>
  <Characters>4427</Characters>
  <Application>Microsoft Office Word</Application>
  <DocSecurity>0</DocSecurity>
  <Lines>36</Lines>
  <Paragraphs>24</Paragraphs>
  <ScaleCrop>false</ScaleCrop>
  <Company>KANCELIARIJA</Company>
  <LinksUpToDate>false</LinksUpToDate>
  <CharactersWithSpaces>12168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VIDA</dc:creator>
  <dc:description/>
  <cp:lastModifiedBy>Rasa</cp:lastModifiedBy>
  <cp:revision>2</cp:revision>
  <cp:lastPrinted>2018-12-31T07:14:00Z</cp:lastPrinted>
  <dcterms:created xsi:type="dcterms:W3CDTF">2021-09-03T07:43:00Z</dcterms:created>
  <dcterms:modified xsi:type="dcterms:W3CDTF">2021-09-03T07:43:00Z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KANCELIARIJA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