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numPr>
          <w:ilvl w:val="0"/>
          <w:numId w:val="0"/>
        </w:numPr>
        <w:overflowPunct w:val="true"/>
        <w:spacing w:lineRule="auto" w:line="240"/>
        <w:jc w:val="center"/>
        <w:textAlignment w:val="baseline"/>
        <w:outlineLvl w:val="0"/>
        <w:rPr>
          <w:rFonts w:ascii="Times New Roman" w:hAnsi="Times New Roman" w:eastAsia="Times New Roman" w:cs="Times New Roman"/>
          <w:b/>
          <w:b/>
          <w:sz w:val="24"/>
          <w:szCs w:val="24"/>
        </w:rPr>
      </w:pPr>
      <w:r>
        <w:rPr/>
        <w:drawing>
          <wp:inline distT="0" distB="0" distL="0" distR="0">
            <wp:extent cx="581025" cy="733425"/>
            <wp:effectExtent l="0" t="0" r="0" b="0"/>
            <wp:docPr id="1" name="Paveikslėlis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descr=""/>
                    <pic:cNvPicPr>
                      <a:picLocks noChangeAspect="1" noChangeArrowheads="1"/>
                    </pic:cNvPicPr>
                  </pic:nvPicPr>
                  <pic:blipFill>
                    <a:blip r:embed="rId2"/>
                    <a:stretch>
                      <a:fillRect/>
                    </a:stretch>
                  </pic:blipFill>
                  <pic:spPr bwMode="auto">
                    <a:xfrm>
                      <a:off x="0" y="0"/>
                      <a:ext cx="581025" cy="733425"/>
                    </a:xfrm>
                    <a:prstGeom prst="rect">
                      <a:avLst/>
                    </a:prstGeom>
                  </pic:spPr>
                </pic:pic>
              </a:graphicData>
            </a:graphic>
          </wp:inline>
        </w:drawing>
      </w:r>
    </w:p>
    <w:p>
      <w:pPr>
        <w:pStyle w:val="Normal"/>
        <w:numPr>
          <w:ilvl w:val="0"/>
          <w:numId w:val="0"/>
        </w:numPr>
        <w:overflowPunct w:val="true"/>
        <w:spacing w:lineRule="auto" w:line="240"/>
        <w:jc w:val="center"/>
        <w:textAlignment w:val="baseline"/>
        <w:outlineLvl w:val="0"/>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numPr>
          <w:ilvl w:val="0"/>
          <w:numId w:val="0"/>
        </w:numPr>
        <w:overflowPunct w:val="true"/>
        <w:spacing w:lineRule="auto" w:line="240"/>
        <w:jc w:val="center"/>
        <w:textAlignment w:val="baseline"/>
        <w:outlineLvl w:val="0"/>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IGNALINOS RAJONO SAVIVALDYBĖS TARYBA</w:t>
      </w:r>
    </w:p>
    <w:p>
      <w:pPr>
        <w:pStyle w:val="Normal"/>
        <w:numPr>
          <w:ilvl w:val="0"/>
          <w:numId w:val="0"/>
        </w:numPr>
        <w:overflowPunct w:val="true"/>
        <w:spacing w:lineRule="auto" w:line="240"/>
        <w:jc w:val="center"/>
        <w:textAlignment w:val="baseline"/>
        <w:outlineLvl w:val="0"/>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numPr>
          <w:ilvl w:val="0"/>
          <w:numId w:val="0"/>
        </w:numPr>
        <w:overflowPunct w:val="true"/>
        <w:spacing w:lineRule="auto" w:line="240"/>
        <w:jc w:val="center"/>
        <w:textAlignment w:val="baseline"/>
        <w:outlineLvl w:val="0"/>
        <w:rPr>
          <w:rFonts w:ascii="Times New Roman" w:hAnsi="Times New Roman" w:eastAsia="Times New Roman" w:cs="Times New Roman"/>
          <w:b/>
          <w:b/>
          <w:sz w:val="24"/>
          <w:szCs w:val="24"/>
        </w:rPr>
      </w:pPr>
      <w:r>
        <w:rPr>
          <w:rFonts w:eastAsia="Times New Roman" w:cs="Times New Roman" w:ascii="Times New Roman" w:hAnsi="Times New Roman"/>
          <w:b/>
          <w:bCs/>
          <w:sz w:val="24"/>
          <w:szCs w:val="24"/>
        </w:rPr>
        <w:t>SPRENDIMAS</w:t>
      </w:r>
    </w:p>
    <w:p>
      <w:pPr>
        <w:pStyle w:val="Normal"/>
        <w:numPr>
          <w:ilvl w:val="0"/>
          <w:numId w:val="0"/>
        </w:numPr>
        <w:overflowPunct w:val="true"/>
        <w:spacing w:lineRule="auto" w:line="240"/>
        <w:jc w:val="center"/>
        <w:textAlignment w:val="baseline"/>
        <w:outlineLvl w:val="0"/>
        <w:rPr>
          <w:rFonts w:ascii="Times New Roman" w:hAnsi="Times New Roman" w:eastAsia="Times New Roman" w:cs="Times New Roman"/>
          <w:b/>
          <w:b/>
          <w:sz w:val="24"/>
          <w:szCs w:val="24"/>
        </w:rPr>
      </w:pPr>
      <w:r>
        <w:rPr>
          <w:rFonts w:eastAsia="Times New Roman" w:cs="Times New Roman" w:ascii="Times New Roman" w:hAnsi="Times New Roman"/>
          <w:b/>
          <w:bCs/>
          <w:sz w:val="24"/>
          <w:szCs w:val="24"/>
        </w:rPr>
        <w:t>DĖL UŽDAROSIOS AKCINĖS BENDROVĖS „DIDŽIASALIO KOMUNALINĖS PASLAUGOS“ GERIAMOJO VANDENS APSKAITOS PRIETAISŲ PRIEŽIŪROS MOKESČIO NUSTATYMO</w:t>
      </w:r>
    </w:p>
    <w:p>
      <w:pPr>
        <w:pStyle w:val="Normal"/>
        <w:widowControl w:val="false"/>
        <w:tabs>
          <w:tab w:val="clear" w:pos="1296"/>
          <w:tab w:val="left" w:pos="1293" w:leader="none"/>
          <w:tab w:val="left" w:pos="4253" w:leader="none"/>
        </w:tabs>
        <w:overflowPunct w:val="true"/>
        <w:spacing w:lineRule="auto" w:line="240"/>
        <w:jc w:val="center"/>
        <w:textAlignment w:val="baseline"/>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widowControl w:val="false"/>
        <w:tabs>
          <w:tab w:val="clear" w:pos="1296"/>
          <w:tab w:val="left" w:pos="1293" w:leader="none"/>
          <w:tab w:val="left" w:pos="4253" w:leader="none"/>
        </w:tabs>
        <w:overflowPunct w:val="true"/>
        <w:spacing w:lineRule="auto" w:line="240"/>
        <w:jc w:val="center"/>
        <w:textAlignment w:val="baseline"/>
        <w:rPr>
          <w:rFonts w:ascii="Times New Roman" w:hAnsi="Times New Roman" w:eastAsia="Times New Roman" w:cs="Times New Roman"/>
          <w:sz w:val="24"/>
          <w:szCs w:val="24"/>
        </w:rPr>
      </w:pPr>
      <w:r>
        <w:rPr>
          <w:rFonts w:eastAsia="Times New Roman" w:cs="Times New Roman" w:ascii="Times New Roman" w:hAnsi="Times New Roman"/>
          <w:sz w:val="24"/>
          <w:szCs w:val="24"/>
        </w:rPr>
        <w:t>2020 m. gruodžio 3 d. Nr. T-253</w:t>
      </w:r>
    </w:p>
    <w:p>
      <w:pPr>
        <w:pStyle w:val="Normal"/>
        <w:widowControl w:val="false"/>
        <w:tabs>
          <w:tab w:val="clear" w:pos="1296"/>
          <w:tab w:val="left" w:pos="1293" w:leader="none"/>
          <w:tab w:val="left" w:pos="4253" w:leader="none"/>
        </w:tabs>
        <w:overflowPunct w:val="true"/>
        <w:spacing w:lineRule="auto" w:line="240"/>
        <w:jc w:val="center"/>
        <w:textAlignment w:val="baseline"/>
        <w:rPr>
          <w:rFonts w:ascii="Times New Roman" w:hAnsi="Times New Roman" w:eastAsia="Times New Roman" w:cs="Times New Roman"/>
          <w:sz w:val="24"/>
          <w:szCs w:val="24"/>
        </w:rPr>
      </w:pPr>
      <w:r>
        <w:rPr>
          <w:rFonts w:eastAsia="Times New Roman" w:cs="Times New Roman" w:ascii="Times New Roman" w:hAnsi="Times New Roman"/>
          <w:sz w:val="24"/>
          <w:szCs w:val="24"/>
        </w:rPr>
        <w:t>Ignalina</w:t>
      </w:r>
    </w:p>
    <w:p>
      <w:pPr>
        <w:pStyle w:val="Normal"/>
        <w:spacing w:lineRule="atLeast" w:line="257"/>
        <w:rPr>
          <w:rFonts w:ascii="Times New Roman" w:hAnsi="Times New Roman" w:eastAsia="Times New Roman" w:cs="Times New Roman"/>
          <w:color w:val="000000"/>
          <w:sz w:val="24"/>
          <w:szCs w:val="24"/>
          <w:lang w:eastAsia="lt-LT"/>
        </w:rPr>
      </w:pPr>
      <w:r>
        <w:rPr>
          <w:rFonts w:eastAsia="Times New Roman" w:cs="Times New Roman" w:ascii="Times New Roman" w:hAnsi="Times New Roman"/>
          <w:color w:val="000000"/>
          <w:sz w:val="24"/>
          <w:szCs w:val="24"/>
          <w:lang w:eastAsia="lt-LT"/>
        </w:rPr>
        <w:t>  </w:t>
      </w:r>
    </w:p>
    <w:p>
      <w:pPr>
        <w:pStyle w:val="Normal"/>
        <w:spacing w:lineRule="auto" w:line="240"/>
        <w:ind w:firstLine="1134"/>
        <w:textAlignment w:val="baseline"/>
        <w:rPr>
          <w:rFonts w:ascii="Times New Roman" w:hAnsi="Times New Roman" w:eastAsia="Times New Roman" w:cs="Times New Roman"/>
          <w:color w:val="000000"/>
          <w:sz w:val="24"/>
          <w:szCs w:val="24"/>
          <w:lang w:eastAsia="lt-LT"/>
        </w:rPr>
      </w:pPr>
      <w:bookmarkStart w:id="0" w:name="part_63475ee50acb42fa862adb14b821f9dd"/>
      <w:bookmarkEnd w:id="0"/>
      <w:r>
        <w:rPr>
          <w:rFonts w:eastAsia="Times New Roman" w:cs="Times New Roman" w:ascii="Times New Roman" w:hAnsi="Times New Roman"/>
          <w:color w:val="000000"/>
          <w:sz w:val="24"/>
          <w:szCs w:val="24"/>
          <w:lang w:eastAsia="lt-LT"/>
        </w:rPr>
        <w:t xml:space="preserve">Vadovaudamasi Lietuvos Respublikos vietos savivaldos įstatymo 16 straipsnio 2 dalies 37 punktu, Lietuvos Respublikos geriamojo vandens tiekimo ir nuotekų tvarkymo įstatymo 10 straipsnio 10 punktu, Geriamojo vandens apskaitos prietaisų įsigijimo, įrengimo ir eksploatavimo užmokesčio apskaičiavimo metodika, patvirtinta Valstybinės energetikos reguliavimo tarybos 2020 m. vasario 28 d. nutarimu Nr. O3E-178 „Dėl Valstybinės kainų ir energetikos kontrolės komisijos 2019 m. balandžio 1 d. nutarimo Nr. O3E-91 „Dėl Geriamojo vandens apskaitos prietaisų įsigijimo, įrengimo ir eksploatavimo užmokesčio apskaičiavimo metodikos patvirtinimo“ pakeitimo“, atsižvelgdama </w:t>
      </w:r>
      <w:r>
        <w:rPr>
          <w:rFonts w:cs="Times New Roman" w:ascii="Times New Roman" w:hAnsi="Times New Roman"/>
          <w:sz w:val="24"/>
          <w:szCs w:val="24"/>
        </w:rPr>
        <w:t>į uždarosios akcinės bendrovės „Didžiasalio komunalinės paslaugos“ 2020 m. spalio 15 d. raštu Nr. R-192 „Dėl geriamojo vandens tiekimo ir nuotekų tvarkymo paslaugų bazinių kainų patvirtinimo“ pateiktą geriamojo vandens apskaitos prietaisų priežiūros mokesčio skaičiavimo projektą ir jo pagrindimą</w:t>
      </w:r>
      <w:r>
        <w:rPr>
          <w:rFonts w:eastAsia="Times New Roman" w:cs="Times New Roman" w:ascii="Times New Roman" w:hAnsi="Times New Roman"/>
          <w:color w:val="000000"/>
          <w:sz w:val="24"/>
          <w:szCs w:val="24"/>
          <w:lang w:eastAsia="lt-LT"/>
        </w:rPr>
        <w:t>, Ignalinos rajono savivaldybės taryba n u s p r e n d ž i a:</w:t>
      </w:r>
    </w:p>
    <w:p>
      <w:pPr>
        <w:pStyle w:val="Normal"/>
        <w:spacing w:lineRule="auto" w:line="240"/>
        <w:ind w:firstLine="1134"/>
        <w:textAlignment w:val="baseline"/>
        <w:rPr>
          <w:rFonts w:ascii="Times New Roman" w:hAnsi="Times New Roman" w:eastAsia="Times New Roman" w:cs="Times New Roman"/>
          <w:color w:val="000000"/>
          <w:sz w:val="24"/>
          <w:szCs w:val="24"/>
          <w:lang w:eastAsia="lt-LT"/>
        </w:rPr>
      </w:pPr>
      <w:bookmarkStart w:id="1" w:name="part_bcf27838fc42443eb2235783c8d79071"/>
      <w:bookmarkEnd w:id="1"/>
      <w:r>
        <w:rPr>
          <w:rFonts w:eastAsia="Times New Roman" w:cs="Times New Roman" w:ascii="Times New Roman" w:hAnsi="Times New Roman"/>
          <w:color w:val="000000"/>
          <w:sz w:val="24"/>
          <w:szCs w:val="24"/>
          <w:lang w:eastAsia="lt-LT"/>
        </w:rPr>
        <w:t>1. Nustatyti uždarosios akcinės bendrovės „D</w:t>
      </w:r>
      <w:r>
        <w:rPr>
          <w:rFonts w:eastAsia="Times New Roman" w:cs="Times New Roman" w:ascii="Times New Roman" w:hAnsi="Times New Roman"/>
          <w:bCs/>
          <w:color w:val="000000"/>
          <w:sz w:val="24"/>
          <w:szCs w:val="24"/>
          <w:lang w:eastAsia="lt-LT"/>
        </w:rPr>
        <w:t xml:space="preserve">idžiasalio komunalinės paslaugos“ vartotojams ir abonentams geriamojo vandens apskaitos prietaisų priežiūros mokestį </w:t>
      </w:r>
      <w:r>
        <w:rPr>
          <w:rFonts w:eastAsia="Times New Roman" w:cs="Times New Roman" w:ascii="Times New Roman" w:hAnsi="Times New Roman"/>
          <w:color w:val="000000"/>
          <w:sz w:val="24"/>
          <w:szCs w:val="24"/>
          <w:lang w:eastAsia="lt-LT"/>
        </w:rPr>
        <w:t>(be pridėtinės vertės mokesčio):</w:t>
      </w:r>
    </w:p>
    <w:p>
      <w:pPr>
        <w:pStyle w:val="Normal"/>
        <w:spacing w:lineRule="auto" w:line="240"/>
        <w:ind w:firstLine="1134"/>
        <w:rPr>
          <w:rFonts w:ascii="Times New Roman" w:hAnsi="Times New Roman" w:eastAsia="Times New Roman" w:cs="Times New Roman"/>
          <w:color w:val="000000"/>
          <w:sz w:val="24"/>
          <w:szCs w:val="24"/>
          <w:lang w:eastAsia="lt-LT"/>
        </w:rPr>
      </w:pPr>
      <w:bookmarkStart w:id="2" w:name="part_bfa162376c814e4d883ef5879ae55eb0"/>
      <w:bookmarkEnd w:id="2"/>
      <w:r>
        <w:rPr>
          <w:rFonts w:eastAsia="Times New Roman" w:cs="Times New Roman" w:ascii="Times New Roman" w:hAnsi="Times New Roman"/>
          <w:color w:val="000000"/>
          <w:sz w:val="24"/>
          <w:szCs w:val="24"/>
          <w:lang w:eastAsia="lt-LT"/>
        </w:rPr>
        <w:t>1.1. kai įrengtas apskaitos prietaisas – 0,55 Eur apskaitos prietaisui per mėn.;</w:t>
      </w:r>
    </w:p>
    <w:p>
      <w:pPr>
        <w:pStyle w:val="Normal"/>
        <w:spacing w:lineRule="auto" w:line="240"/>
        <w:ind w:firstLine="1134"/>
        <w:rPr>
          <w:rFonts w:ascii="Times New Roman" w:hAnsi="Times New Roman" w:eastAsia="Times New Roman" w:cs="Times New Roman"/>
          <w:color w:val="000000"/>
          <w:sz w:val="24"/>
          <w:szCs w:val="24"/>
          <w:lang w:eastAsia="lt-LT"/>
        </w:rPr>
      </w:pPr>
      <w:bookmarkStart w:id="3" w:name="part_9dac749bad6943f1b28883f2c31a3fe1"/>
      <w:bookmarkEnd w:id="3"/>
      <w:r>
        <w:rPr>
          <w:rFonts w:eastAsia="Times New Roman" w:cs="Times New Roman" w:ascii="Times New Roman" w:hAnsi="Times New Roman"/>
          <w:color w:val="000000"/>
          <w:sz w:val="24"/>
          <w:szCs w:val="24"/>
          <w:lang w:eastAsia="lt-LT"/>
        </w:rPr>
        <w:t>1.2. kai dėl techninių priežasčių nėra galimybės įrengti apskaitos prietaiso – 0,57 Eur vartotojui per mėn.</w:t>
      </w:r>
    </w:p>
    <w:p>
      <w:pPr>
        <w:pStyle w:val="Normal"/>
        <w:spacing w:lineRule="auto" w:line="240"/>
        <w:ind w:firstLine="1134"/>
        <w:rPr>
          <w:rFonts w:ascii="Times New Roman" w:hAnsi="Times New Roman" w:eastAsia="Times New Roman" w:cs="Times New Roman"/>
          <w:color w:val="000000"/>
          <w:sz w:val="24"/>
          <w:szCs w:val="24"/>
          <w:lang w:eastAsia="lt-LT"/>
        </w:rPr>
      </w:pPr>
      <w:bookmarkStart w:id="4" w:name="part_5d35db6cb0ac4238bd13f9767efd30d9"/>
      <w:bookmarkEnd w:id="4"/>
      <w:r>
        <w:rPr>
          <w:rFonts w:eastAsia="Times New Roman" w:cs="Times New Roman" w:ascii="Times New Roman" w:hAnsi="Times New Roman"/>
          <w:color w:val="000000"/>
          <w:sz w:val="24"/>
          <w:szCs w:val="24"/>
          <w:lang w:eastAsia="lt-LT"/>
        </w:rPr>
        <w:t>2. Nustatyti, kad uždarosios akcinės bendrovės „D</w:t>
      </w:r>
      <w:r>
        <w:rPr>
          <w:rFonts w:eastAsia="Times New Roman" w:cs="Times New Roman" w:ascii="Times New Roman" w:hAnsi="Times New Roman"/>
          <w:bCs/>
          <w:color w:val="000000"/>
          <w:sz w:val="24"/>
          <w:szCs w:val="24"/>
          <w:lang w:eastAsia="lt-LT"/>
        </w:rPr>
        <w:t xml:space="preserve">idžiasalio komunalinės paslaugos“ </w:t>
      </w:r>
      <w:r>
        <w:rPr>
          <w:rFonts w:eastAsia="Times New Roman" w:cs="Times New Roman" w:ascii="Times New Roman" w:hAnsi="Times New Roman"/>
          <w:color w:val="000000"/>
          <w:sz w:val="24"/>
          <w:szCs w:val="24"/>
          <w:lang w:eastAsia="lt-LT"/>
        </w:rPr>
        <w:t>geriamojo vandens apskaitos prietaisų priežiūros mokestis:</w:t>
      </w:r>
    </w:p>
    <w:p>
      <w:pPr>
        <w:pStyle w:val="Normal"/>
        <w:spacing w:lineRule="auto" w:line="240"/>
        <w:ind w:firstLine="1134"/>
        <w:rPr>
          <w:rFonts w:ascii="Times New Roman" w:hAnsi="Times New Roman" w:eastAsia="Times New Roman" w:cs="Times New Roman"/>
          <w:color w:val="000000"/>
          <w:sz w:val="24"/>
          <w:szCs w:val="24"/>
          <w:lang w:eastAsia="lt-LT"/>
        </w:rPr>
      </w:pPr>
      <w:r>
        <w:rPr>
          <w:rFonts w:eastAsia="Times New Roman" w:cs="Times New Roman" w:ascii="Times New Roman" w:hAnsi="Times New Roman"/>
          <w:color w:val="000000"/>
          <w:sz w:val="24"/>
          <w:szCs w:val="24"/>
          <w:lang w:eastAsia="lt-LT"/>
        </w:rPr>
        <w:t>2.1. įsigalioja ne anksčiau kaip po 30 kalendorinių dienų, kai uždaroji akcinė bendrovė „Didžiasalio komunalinės paslaugos“ viešai apie jį paskelbia savo interneto svetainėje, ir taikomas nuo kito mėnesio (einančio po mėnesio, kai mokestis įsigalioja) pirmosios dienos;</w:t>
      </w:r>
    </w:p>
    <w:p>
      <w:pPr>
        <w:pStyle w:val="Normal"/>
        <w:spacing w:lineRule="auto" w:line="240"/>
        <w:ind w:firstLine="1134"/>
        <w:rPr>
          <w:rFonts w:ascii="Times New Roman" w:hAnsi="Times New Roman" w:eastAsia="Times New Roman" w:cs="Times New Roman"/>
          <w:color w:val="000000"/>
          <w:sz w:val="24"/>
          <w:szCs w:val="24"/>
          <w:lang w:eastAsia="lt-LT"/>
        </w:rPr>
      </w:pPr>
      <w:r>
        <w:rPr>
          <w:rFonts w:eastAsia="Times New Roman" w:cs="Times New Roman" w:ascii="Times New Roman" w:hAnsi="Times New Roman"/>
          <w:color w:val="000000"/>
          <w:sz w:val="24"/>
          <w:szCs w:val="24"/>
          <w:lang w:eastAsia="lt-LT"/>
        </w:rPr>
        <w:t>2.2. taikomas uždarosios akcinės bendrovės „Didžiasalio komunalinės paslaugos“ veiklos plano vykdymo laikotarpiu ir gali būti perskaičiuojamas vartotojų kainų indeksui pasikeitus daugiau kaip 10 procentų.</w:t>
      </w:r>
    </w:p>
    <w:p>
      <w:pPr>
        <w:pStyle w:val="Normal"/>
        <w:spacing w:lineRule="auto" w:line="240"/>
        <w:ind w:firstLine="1134"/>
        <w:textAlignment w:val="baseline"/>
        <w:rPr>
          <w:rFonts w:ascii="Times New Roman" w:hAnsi="Times New Roman" w:eastAsia="Times New Roman" w:cs="Times New Roman"/>
          <w:color w:val="000000"/>
          <w:sz w:val="24"/>
          <w:szCs w:val="24"/>
          <w:lang w:eastAsia="lt-LT"/>
        </w:rPr>
      </w:pPr>
      <w:bookmarkStart w:id="5" w:name="part_b8e7a6bf09714b7eb2cc7a4f0484bc9e"/>
      <w:bookmarkEnd w:id="5"/>
      <w:r>
        <w:rPr>
          <w:rFonts w:eastAsia="Times New Roman" w:cs="Times New Roman" w:ascii="Times New Roman" w:hAnsi="Times New Roman"/>
          <w:color w:val="000000"/>
          <w:sz w:val="24"/>
          <w:szCs w:val="24"/>
          <w:lang w:eastAsia="lt-LT"/>
        </w:rPr>
        <w:t>3. Paskelbti šį sprendimą Teisės aktų registre ir Ignalinos rajono savivaldybės interneto svetainėje www.ignalina.lt.</w:t>
      </w:r>
    </w:p>
    <w:p>
      <w:pPr>
        <w:pStyle w:val="Normal"/>
        <w:spacing w:lineRule="atLeast" w:line="257"/>
        <w:rPr>
          <w:rFonts w:ascii="Times New Roman" w:hAnsi="Times New Roman" w:eastAsia="Times New Roman" w:cs="Times New Roman"/>
          <w:color w:val="000000"/>
          <w:sz w:val="24"/>
          <w:szCs w:val="24"/>
          <w:lang w:eastAsia="lt-LT"/>
        </w:rPr>
      </w:pPr>
      <w:r>
        <w:rPr>
          <w:rFonts w:eastAsia="Times New Roman" w:cs="Times New Roman" w:ascii="Times New Roman" w:hAnsi="Times New Roman"/>
          <w:color w:val="000000"/>
          <w:sz w:val="24"/>
          <w:szCs w:val="24"/>
          <w:lang w:eastAsia="lt-LT"/>
        </w:rPr>
      </w:r>
      <w:bookmarkStart w:id="6" w:name="part_29e73b8811b84590b3a0e1ac0286efc8"/>
      <w:bookmarkStart w:id="7" w:name="part_29e73b8811b84590b3a0e1ac0286efc8"/>
      <w:bookmarkEnd w:id="7"/>
    </w:p>
    <w:p>
      <w:pPr>
        <w:pStyle w:val="Normal"/>
        <w:spacing w:lineRule="atLeast" w:line="257"/>
        <w:rPr>
          <w:rFonts w:ascii="Times New Roman" w:hAnsi="Times New Roman" w:eastAsia="Times New Roman" w:cs="Times New Roman"/>
          <w:color w:val="000000"/>
          <w:sz w:val="24"/>
          <w:szCs w:val="24"/>
          <w:lang w:eastAsia="lt-LT"/>
        </w:rPr>
      </w:pPr>
      <w:r>
        <w:rPr>
          <w:rFonts w:eastAsia="Times New Roman" w:cs="Times New Roman" w:ascii="Times New Roman" w:hAnsi="Times New Roman"/>
          <w:color w:val="000000"/>
          <w:sz w:val="24"/>
          <w:szCs w:val="24"/>
          <w:lang w:eastAsia="lt-LT"/>
        </w:rPr>
      </w:r>
    </w:p>
    <w:p>
      <w:pPr>
        <w:pStyle w:val="Normal"/>
        <w:spacing w:lineRule="atLeast" w:line="257"/>
        <w:rPr>
          <w:rFonts w:ascii="Times New Roman" w:hAnsi="Times New Roman" w:cs="Times New Roman"/>
          <w:sz w:val="24"/>
          <w:szCs w:val="24"/>
        </w:rPr>
      </w:pPr>
      <w:r>
        <w:rPr>
          <w:rFonts w:eastAsia="Times New Roman" w:cs="Times New Roman" w:ascii="Times New Roman" w:hAnsi="Times New Roman"/>
          <w:color w:val="000000"/>
          <w:sz w:val="24"/>
          <w:szCs w:val="24"/>
          <w:lang w:eastAsia="lt-LT"/>
        </w:rPr>
        <w:t>Savivaldybės meras</w:t>
        <w:tab/>
        <w:tab/>
        <w:tab/>
        <w:tab/>
        <w:tab/>
      </w:r>
      <w:bookmarkStart w:id="8" w:name="_GoBack"/>
      <w:bookmarkEnd w:id="8"/>
      <w:r>
        <w:rPr>
          <w:rFonts w:eastAsia="Times New Roman" w:cs="Times New Roman" w:ascii="Times New Roman" w:hAnsi="Times New Roman"/>
          <w:color w:val="000000"/>
          <w:sz w:val="24"/>
          <w:szCs w:val="24"/>
          <w:lang w:eastAsia="lt-LT"/>
        </w:rPr>
        <w:t xml:space="preserve">      Justas Rasikas</w:t>
      </w:r>
    </w:p>
    <w:sectPr>
      <w:headerReference w:type="default" r:id="rId3"/>
      <w:footerReference w:type="default" r:id="rId4"/>
      <w:type w:val="nextPage"/>
      <w:pgSz w:w="11906" w:h="16838"/>
      <w:pgMar w:left="1701" w:right="567" w:header="567" w:top="1134" w:footer="567" w:bottom="62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Segoe UI">
    <w:charset w:val="00"/>
    <w:family w:val="roman"/>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right"/>
      <w:rPr>
        <w:sz w:val="20"/>
      </w:rPr>
    </w:pPr>
    <w:r>
      <w:rPr>
        <w:sz w:val="20"/>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r>
    <w:r>
      <mc:AlternateContent>
        <mc:Choice Requires="wps">
          <w:drawing>
            <wp:anchor behindDoc="0" distT="0" distB="0" distL="0" distR="0" simplePos="0" locked="0" layoutInCell="0" allowOverlap="1" relativeHeight="3">
              <wp:simplePos x="0" y="0"/>
              <wp:positionH relativeFrom="margin">
                <wp:align>center</wp:align>
              </wp:positionH>
              <wp:positionV relativeFrom="paragraph">
                <wp:posOffset>635</wp:posOffset>
              </wp:positionV>
              <wp:extent cx="14605" cy="170815"/>
              <wp:effectExtent l="0" t="0" r="0" b="0"/>
              <wp:wrapSquare wrapText="bothSides"/>
              <wp:docPr id="2" name="Frame1"/>
              <a:graphic xmlns:a="http://schemas.openxmlformats.org/drawingml/2006/main">
                <a:graphicData uri="http://schemas.microsoft.com/office/word/2010/wordprocessingShape">
                  <wps:wsp>
                    <wps:cNvSpPr txBox="1"/>
                    <wps:spPr>
                      <a:xfrm>
                        <a:off x="0" y="0"/>
                        <a:ext cx="14605" cy="170815"/>
                      </a:xfrm>
                      <a:prstGeom prst="rect"/>
                      <a:solidFill>
                        <a:srgbClr val="FFFFFF">
                          <a:alpha val="0"/>
                        </a:srgbClr>
                      </a:solidFill>
                    </wps:spPr>
                    <wps:txbx>
                      <w:txbxContent>
                        <w:p>
                          <w:pPr>
                            <w:pStyle w:val="Header"/>
                            <w:pBdr/>
                            <w:rPr/>
                          </w:pPr>
                          <w:r>
                            <w:rPr/>
                          </w:r>
                        </w:p>
                      </w:txbxContent>
                    </wps:txbx>
                    <wps:bodyPr anchor="t" lIns="0" tIns="0" rIns="0" bIns="0">
                      <a:spAutoFit/>
                    </wps:bodyPr>
                  </wps:wsp>
                </a:graphicData>
              </a:graphic>
            </wp:anchor>
          </w:drawing>
        </mc:Choice>
        <mc:Fallback>
          <w:pict>
            <v:rect fillcolor="#FFFFFF" style="position:absolute;rotation:0;width:1.15pt;height:13.45pt;mso-wrap-distance-left:0pt;mso-wrap-distance-right:0pt;mso-wrap-distance-top:0pt;mso-wrap-distance-bottom:0pt;margin-top:0.05pt;mso-position-vertical-relative:text;margin-left:240.4pt;mso-position-horizontal:center;mso-position-horizontal-relative:margin">
              <v:fill opacity="0f"/>
              <v:textbox inset="0in,0in,0in,0in">
                <w:txbxContent>
                  <w:p>
                    <w:pPr>
                      <w:pStyle w:val="Header"/>
                      <w:pBdr/>
                      <w:rPr/>
                    </w:pPr>
                    <w:r>
                      <w:rPr/>
                    </w:r>
                  </w:p>
                </w:txbxContent>
              </v:textbox>
              <w10:wrap type="square"/>
            </v:rect>
          </w:pict>
        </mc:Fallback>
      </mc:AlternateContent>
    </w:r>
  </w:p>
</w:hdr>
</file>

<file path=word/settings.xml><?xml version="1.0" encoding="utf-8"?>
<w:settings xmlns:w="http://schemas.openxmlformats.org/wordprocessingml/2006/main">
  <w:zoom w:percent="140"/>
  <w:defaultTabStop w:val="1296"/>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396"/>
  <w:themeFontLang w:val="lt-L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lt-LT"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59" w:before="0" w:after="0"/>
      <w:jc w:val="both"/>
    </w:pPr>
    <w:rPr>
      <w:rFonts w:ascii="Calibri" w:hAnsi="Calibri" w:eastAsia="Calibri" w:cs="" w:asciiTheme="minorHAnsi" w:cstheme="minorBidi" w:eastAsiaTheme="minorHAnsi" w:hAnsiTheme="minorHAnsi"/>
      <w:color w:val="auto"/>
      <w:kern w:val="0"/>
      <w:sz w:val="22"/>
      <w:szCs w:val="22"/>
      <w:lang w:val="lt-LT" w:eastAsia="en-US" w:bidi="ar-SA"/>
    </w:rPr>
  </w:style>
  <w:style w:type="character" w:styleId="DefaultParagraphFont" w:default="1">
    <w:name w:val="Default Paragraph Font"/>
    <w:uiPriority w:val="1"/>
    <w:semiHidden/>
    <w:unhideWhenUsed/>
    <w:qFormat/>
    <w:rPr/>
  </w:style>
  <w:style w:type="character" w:styleId="AntratsDiagrama" w:customStyle="1">
    <w:name w:val="Antraštės Diagrama"/>
    <w:basedOn w:val="DefaultParagraphFont"/>
    <w:link w:val="Antrats"/>
    <w:uiPriority w:val="99"/>
    <w:semiHidden/>
    <w:qFormat/>
    <w:rsid w:val="00961a58"/>
    <w:rPr/>
  </w:style>
  <w:style w:type="character" w:styleId="Pagenumber">
    <w:name w:val="page number"/>
    <w:basedOn w:val="DefaultParagraphFont"/>
    <w:qFormat/>
    <w:rsid w:val="00961a58"/>
    <w:rPr/>
  </w:style>
  <w:style w:type="character" w:styleId="PoratDiagrama" w:customStyle="1">
    <w:name w:val="Poraštė Diagrama"/>
    <w:basedOn w:val="DefaultParagraphFont"/>
    <w:link w:val="Porat"/>
    <w:qFormat/>
    <w:rsid w:val="00961a58"/>
    <w:rPr>
      <w:rFonts w:ascii="Times New Roman" w:hAnsi="Times New Roman" w:eastAsia="Times New Roman" w:cs="Times New Roman"/>
      <w:sz w:val="24"/>
      <w:szCs w:val="20"/>
      <w:lang w:val="en-US"/>
    </w:rPr>
  </w:style>
  <w:style w:type="character" w:styleId="DebesliotekstasDiagrama" w:customStyle="1">
    <w:name w:val="Debesėlio tekstas Diagrama"/>
    <w:basedOn w:val="DefaultParagraphFont"/>
    <w:link w:val="Debesliotekstas"/>
    <w:uiPriority w:val="99"/>
    <w:semiHidden/>
    <w:qFormat/>
    <w:rsid w:val="004d371c"/>
    <w:rPr>
      <w:rFonts w:ascii="Segoe UI" w:hAnsi="Segoe UI" w:cs="Segoe UI"/>
      <w:sz w:val="18"/>
      <w:szCs w:val="18"/>
    </w:rPr>
  </w:style>
  <w:style w:type="paragraph" w:styleId="Heading">
    <w:name w:val="Heading"/>
    <w:basedOn w:val="Normal"/>
    <w:next w:val="TextBody"/>
    <w:qFormat/>
    <w:pPr>
      <w:keepNext w:val="true"/>
      <w:spacing w:before="240" w:after="120"/>
    </w:pPr>
    <w:rPr>
      <w:rFonts w:ascii="Liberation Sans" w:hAnsi="Liberation Sans"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HeaderandFooter">
    <w:name w:val="Header and Footer"/>
    <w:basedOn w:val="Normal"/>
    <w:qFormat/>
    <w:pPr/>
    <w:rPr/>
  </w:style>
  <w:style w:type="paragraph" w:styleId="Header">
    <w:name w:val="Header"/>
    <w:basedOn w:val="Normal"/>
    <w:link w:val="AntratsDiagrama"/>
    <w:uiPriority w:val="99"/>
    <w:semiHidden/>
    <w:unhideWhenUsed/>
    <w:rsid w:val="00961a58"/>
    <w:pPr>
      <w:tabs>
        <w:tab w:val="clear" w:pos="1296"/>
        <w:tab w:val="center" w:pos="4819" w:leader="none"/>
        <w:tab w:val="right" w:pos="9638" w:leader="none"/>
      </w:tabs>
      <w:spacing w:lineRule="auto" w:line="240"/>
    </w:pPr>
    <w:rPr/>
  </w:style>
  <w:style w:type="paragraph" w:styleId="Footer">
    <w:name w:val="Footer"/>
    <w:basedOn w:val="Normal"/>
    <w:link w:val="PoratDiagrama"/>
    <w:rsid w:val="00961a58"/>
    <w:pPr>
      <w:widowControl w:val="false"/>
      <w:tabs>
        <w:tab w:val="clear" w:pos="1296"/>
        <w:tab w:val="center" w:pos="4819" w:leader="none"/>
        <w:tab w:val="right" w:pos="9638" w:leader="none"/>
      </w:tabs>
      <w:overflowPunct w:val="true"/>
      <w:spacing w:lineRule="auto" w:line="240"/>
      <w:textAlignment w:val="baseline"/>
    </w:pPr>
    <w:rPr>
      <w:rFonts w:ascii="Times New Roman" w:hAnsi="Times New Roman" w:eastAsia="Times New Roman" w:cs="Times New Roman"/>
      <w:sz w:val="24"/>
      <w:szCs w:val="20"/>
      <w:lang w:val="en-US"/>
    </w:rPr>
  </w:style>
  <w:style w:type="paragraph" w:styleId="BalloonText">
    <w:name w:val="Balloon Text"/>
    <w:basedOn w:val="Normal"/>
    <w:link w:val="DebesliotekstasDiagrama"/>
    <w:uiPriority w:val="99"/>
    <w:semiHidden/>
    <w:unhideWhenUsed/>
    <w:qFormat/>
    <w:rsid w:val="004d371c"/>
    <w:pPr>
      <w:spacing w:lineRule="auto" w:line="240"/>
    </w:pPr>
    <w:rPr>
      <w:rFonts w:ascii="Segoe UI" w:hAnsi="Segoe UI" w:cs="Segoe UI"/>
      <w:sz w:val="18"/>
      <w:szCs w:val="18"/>
    </w:rPr>
  </w:style>
  <w:style w:type="paragraph" w:styleId="FrameContents">
    <w:name w:val="Frame Contents"/>
    <w:basedOn w:val="Normal"/>
    <w:qFormat/>
    <w:pPr/>
    <w:rPr/>
  </w:style>
  <w:style w:type="numbering" w:styleId="NoList" w:default="1">
    <w:name w:val="No List"/>
    <w:uiPriority w:val="99"/>
    <w:semiHidden/>
    <w:unhideWhenUsed/>
    <w:qFormat/>
  </w:style>
  <w:style w:type="table" w:default="1" w:styleId="prastojilente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Application>LibreOffice/7.0.0.3$Windows_X86_64 LibreOffice_project/8061b3e9204bef6b321a21033174034a5e2ea88e</Application>
  <Pages>1</Pages>
  <Words>299</Words>
  <Characters>2097</Characters>
  <CharactersWithSpaces>2396</CharactersWithSpaces>
  <Paragraphs>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2020-12-03T13:04:00Z</dcterms:created>
  <dc:creator>Valentina</dc:creator>
  <dc:description/>
  <dc:language>lt-LT</dc:language>
  <cp:lastModifiedBy>Rita</cp:lastModifiedBy>
  <cp:lastPrinted>2020-12-03T06:12:00Z</cp:lastPrinted>
  <dcterms:modified xsi:type="dcterms:W3CDTF">2020-12-03T14:59:00Z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